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7" w:rightFromText="187" w:vertAnchor="page" w:horzAnchor="margin" w:tblpY="1758"/>
        <w:tblW w:w="0" w:type="auto"/>
        <w:tblLayout w:type="fixed"/>
        <w:tblLook w:val="04A0" w:firstRow="1" w:lastRow="0" w:firstColumn="1" w:lastColumn="0" w:noHBand="0" w:noVBand="1"/>
      </w:tblPr>
      <w:tblGrid>
        <w:gridCol w:w="5070"/>
        <w:gridCol w:w="4645"/>
      </w:tblGrid>
      <w:tr w:rsidR="000D5974" w:rsidRPr="000D5974" w14:paraId="34AB26A6" w14:textId="77777777" w:rsidTr="00D7719D">
        <w:tc>
          <w:tcPr>
            <w:tcW w:w="9715" w:type="dxa"/>
            <w:gridSpan w:val="2"/>
          </w:tcPr>
          <w:p w14:paraId="4D2F8FC4" w14:textId="51D9DE75" w:rsidR="000D5974" w:rsidRPr="005157CB" w:rsidRDefault="000D5974" w:rsidP="005157CB">
            <w:pPr>
              <w:spacing w:line="276" w:lineRule="auto"/>
              <w:jc w:val="center"/>
              <w:rPr>
                <w:rFonts w:ascii="Times New Roman" w:hAnsi="Times New Roman"/>
                <w:b/>
                <w:sz w:val="24"/>
                <w:szCs w:val="24"/>
                <w:lang w:val="sq-AL"/>
              </w:rPr>
            </w:pPr>
            <w:bookmarkStart w:id="0" w:name="_GoBack"/>
            <w:bookmarkEnd w:id="0"/>
            <w:r w:rsidRPr="005157CB">
              <w:rPr>
                <w:rFonts w:ascii="Times New Roman" w:hAnsi="Times New Roman"/>
                <w:b/>
                <w:sz w:val="24"/>
                <w:szCs w:val="24"/>
                <w:lang w:val="sq-AL"/>
              </w:rPr>
              <w:t>RAPORTI I VLERËSIMIT TË NDIKIMIT</w:t>
            </w:r>
          </w:p>
        </w:tc>
      </w:tr>
      <w:tr w:rsidR="00C84F64" w:rsidRPr="00325A1F" w14:paraId="483B3CEF" w14:textId="77777777" w:rsidTr="00D7719D">
        <w:tc>
          <w:tcPr>
            <w:tcW w:w="5070" w:type="dxa"/>
          </w:tcPr>
          <w:p w14:paraId="4707D5B1"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EMËRTIMI I PROPOZIMIT TË POLITIKËS </w:t>
            </w:r>
          </w:p>
        </w:tc>
        <w:tc>
          <w:tcPr>
            <w:tcW w:w="4645" w:type="dxa"/>
          </w:tcPr>
          <w:p w14:paraId="129DBBD3" w14:textId="1F50CD86" w:rsidR="00CA40EE" w:rsidRPr="005157CB" w:rsidRDefault="00954A5F" w:rsidP="00954A5F">
            <w:pPr>
              <w:jc w:val="both"/>
              <w:rPr>
                <w:rFonts w:ascii="Times New Roman" w:hAnsi="Times New Roman"/>
                <w:b/>
                <w:bCs/>
                <w:sz w:val="24"/>
                <w:szCs w:val="24"/>
                <w:u w:val="single"/>
                <w:lang w:val="sq-AL"/>
              </w:rPr>
            </w:pPr>
            <w:r w:rsidRPr="005157CB">
              <w:rPr>
                <w:rFonts w:ascii="Times New Roman" w:hAnsi="Times New Roman"/>
                <w:sz w:val="24"/>
                <w:szCs w:val="24"/>
                <w:lang w:val="sq-AL"/>
              </w:rPr>
              <w:t>Projektligj</w:t>
            </w:r>
            <w:r w:rsidRPr="005157CB">
              <w:rPr>
                <w:rFonts w:ascii="Times New Roman" w:hAnsi="Times New Roman"/>
                <w:sz w:val="24"/>
                <w:szCs w:val="24"/>
              </w:rPr>
              <w:t xml:space="preserve"> </w:t>
            </w:r>
            <w:r w:rsidR="00E052DE" w:rsidRPr="005157CB">
              <w:rPr>
                <w:rFonts w:ascii="Times New Roman" w:hAnsi="Times New Roman"/>
                <w:sz w:val="24"/>
                <w:szCs w:val="24"/>
              </w:rPr>
              <w:t>“</w:t>
            </w:r>
            <w:r w:rsidR="00E052DE" w:rsidRPr="005157CB">
              <w:rPr>
                <w:rFonts w:ascii="Times New Roman" w:hAnsi="Times New Roman"/>
                <w:i/>
                <w:sz w:val="24"/>
                <w:szCs w:val="24"/>
              </w:rPr>
              <w:t xml:space="preserve">Për </w:t>
            </w:r>
            <w:r w:rsidRPr="005157CB">
              <w:rPr>
                <w:rFonts w:ascii="Times New Roman" w:hAnsi="Times New Roman"/>
                <w:i/>
                <w:sz w:val="24"/>
                <w:szCs w:val="24"/>
                <w:lang w:val="sq-AL"/>
              </w:rPr>
              <w:t>organizimin dhe funksionimin e shërbimit përmbarimor gjyqësor shtetëror</w:t>
            </w:r>
            <w:r w:rsidR="00E052DE" w:rsidRPr="005157CB">
              <w:rPr>
                <w:rFonts w:ascii="Times New Roman" w:hAnsi="Times New Roman"/>
                <w:sz w:val="24"/>
                <w:szCs w:val="24"/>
              </w:rPr>
              <w:t>”</w:t>
            </w:r>
          </w:p>
        </w:tc>
      </w:tr>
      <w:tr w:rsidR="00C84F64" w:rsidRPr="00325A1F" w14:paraId="0BB8BDE5" w14:textId="77777777" w:rsidTr="00D7719D">
        <w:tc>
          <w:tcPr>
            <w:tcW w:w="5070" w:type="dxa"/>
          </w:tcPr>
          <w:p w14:paraId="239D67E8"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MINISTRIA UDHËHEQËSE  </w:t>
            </w:r>
          </w:p>
        </w:tc>
        <w:tc>
          <w:tcPr>
            <w:tcW w:w="4645" w:type="dxa"/>
          </w:tcPr>
          <w:p w14:paraId="68A7E2E8" w14:textId="2DBD4717" w:rsidR="00CA40EE" w:rsidRPr="005157CB" w:rsidRDefault="00444DC8" w:rsidP="00A763D5">
            <w:pPr>
              <w:spacing w:line="276" w:lineRule="auto"/>
              <w:rPr>
                <w:rFonts w:ascii="Times New Roman" w:hAnsi="Times New Roman"/>
                <w:sz w:val="24"/>
                <w:szCs w:val="24"/>
                <w:lang w:val="sq-AL"/>
              </w:rPr>
            </w:pPr>
            <w:r w:rsidRPr="005157CB">
              <w:rPr>
                <w:rFonts w:ascii="Times New Roman" w:hAnsi="Times New Roman"/>
                <w:sz w:val="24"/>
                <w:szCs w:val="24"/>
                <w:lang w:val="sq-AL"/>
              </w:rPr>
              <w:t xml:space="preserve">Ministria </w:t>
            </w:r>
            <w:r w:rsidR="00A763D5" w:rsidRPr="005157CB">
              <w:rPr>
                <w:rFonts w:ascii="Times New Roman" w:hAnsi="Times New Roman"/>
                <w:sz w:val="24"/>
                <w:szCs w:val="24"/>
                <w:lang w:val="sq-AL"/>
              </w:rPr>
              <w:t>e Drejtësisë</w:t>
            </w:r>
          </w:p>
        </w:tc>
      </w:tr>
      <w:tr w:rsidR="00C84F64" w:rsidRPr="00325A1F" w14:paraId="14222BD2" w14:textId="77777777" w:rsidTr="00D7719D">
        <w:tc>
          <w:tcPr>
            <w:tcW w:w="5070" w:type="dxa"/>
          </w:tcPr>
          <w:p w14:paraId="4959A4FA"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FAZA E POLITIKËS/VLERËSIMIT TË NDIKIMIT</w:t>
            </w:r>
          </w:p>
        </w:tc>
        <w:tc>
          <w:tcPr>
            <w:tcW w:w="4645" w:type="dxa"/>
          </w:tcPr>
          <w:p w14:paraId="0F1AD9CC" w14:textId="7081F11D" w:rsidR="00CA40EE" w:rsidRPr="005157CB" w:rsidRDefault="00C278E6" w:rsidP="007B6556">
            <w:pPr>
              <w:spacing w:line="276" w:lineRule="auto"/>
              <w:rPr>
                <w:rFonts w:ascii="Times New Roman" w:hAnsi="Times New Roman"/>
                <w:sz w:val="24"/>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rFonts w:ascii="Calibri" w:hAnsi="Calibri"/>
                  <w:color w:val="auto"/>
                  <w:sz w:val="22"/>
                  <w:lang w:val="sq-AL" w:eastAsia="en-US"/>
                </w:rPr>
              </w:sdtEndPr>
              <w:sdtContent>
                <w:r w:rsidR="00954A5F" w:rsidRPr="005157CB">
                  <w:rPr>
                    <w:rStyle w:val="BodyTextChar"/>
                    <w:rFonts w:ascii="Times New Roman" w:hAnsi="Times New Roman"/>
                    <w:sz w:val="24"/>
                    <w:szCs w:val="24"/>
                  </w:rPr>
                  <w:t>Konsultim</w:t>
                </w:r>
              </w:sdtContent>
            </w:sdt>
          </w:p>
        </w:tc>
      </w:tr>
      <w:tr w:rsidR="00C84F64" w:rsidRPr="00325A1F" w14:paraId="47CEFF3E" w14:textId="77777777" w:rsidTr="00D7719D">
        <w:tc>
          <w:tcPr>
            <w:tcW w:w="5070" w:type="dxa"/>
          </w:tcPr>
          <w:p w14:paraId="7DF7E06A"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BURIMI I PROPOZIMIT TË POLITIKËS</w:t>
            </w:r>
          </w:p>
        </w:tc>
        <w:tc>
          <w:tcPr>
            <w:tcW w:w="4645" w:type="dxa"/>
          </w:tcPr>
          <w:p w14:paraId="29694D80" w14:textId="74CC60D8" w:rsidR="00CA40EE" w:rsidRPr="005157CB" w:rsidRDefault="00E052DE" w:rsidP="007B6556">
            <w:pPr>
              <w:spacing w:line="276" w:lineRule="auto"/>
              <w:jc w:val="both"/>
              <w:rPr>
                <w:rFonts w:ascii="Times New Roman" w:hAnsi="Times New Roman"/>
                <w:sz w:val="24"/>
                <w:szCs w:val="24"/>
                <w:lang w:val="sq-AL"/>
              </w:rPr>
            </w:pPr>
            <w:r w:rsidRPr="005157CB">
              <w:rPr>
                <w:rStyle w:val="IASOIChar"/>
                <w:rFonts w:ascii="Times New Roman" w:hAnsi="Times New Roman"/>
                <w:b w:val="0"/>
                <w:sz w:val="24"/>
                <w:szCs w:val="24"/>
              </w:rPr>
              <w:fldChar w:fldCharType="begin">
                <w:ffData>
                  <w:name w:val=""/>
                  <w:enabled/>
                  <w:calcOnExit w:val="0"/>
                  <w:ddList>
                    <w:listEntry w:val="I brendshëm"/>
                    <w:listEntry w:val="I brendshëm/transpozim i  BE-së/ndërkombëtar"/>
                    <w:listEntry w:val="Transpozim  i BE-së"/>
                    <w:listEntry w:val="Ndërkombëtar"/>
                  </w:ddList>
                </w:ffData>
              </w:fldChar>
            </w:r>
            <w:r w:rsidRPr="005157CB">
              <w:rPr>
                <w:rStyle w:val="IASOIChar"/>
                <w:rFonts w:ascii="Times New Roman" w:hAnsi="Times New Roman"/>
                <w:b w:val="0"/>
                <w:sz w:val="24"/>
                <w:szCs w:val="24"/>
              </w:rPr>
              <w:instrText xml:space="preserve"> FORMDROPDOWN </w:instrText>
            </w:r>
            <w:r w:rsidR="00C278E6">
              <w:rPr>
                <w:rStyle w:val="IASOIChar"/>
                <w:rFonts w:ascii="Times New Roman" w:hAnsi="Times New Roman"/>
                <w:b w:val="0"/>
                <w:sz w:val="24"/>
                <w:szCs w:val="24"/>
              </w:rPr>
            </w:r>
            <w:r w:rsidR="00C278E6">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p>
        </w:tc>
      </w:tr>
      <w:tr w:rsidR="00C84F64" w:rsidRPr="00325A1F" w14:paraId="48A074B2" w14:textId="77777777" w:rsidTr="00D7719D">
        <w:trPr>
          <w:trHeight w:val="557"/>
        </w:trPr>
        <w:tc>
          <w:tcPr>
            <w:tcW w:w="5070" w:type="dxa"/>
          </w:tcPr>
          <w:p w14:paraId="6B22BBE5"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DIREKTIVË/RREGULLORE E BE-së </w:t>
            </w:r>
          </w:p>
        </w:tc>
        <w:tc>
          <w:tcPr>
            <w:tcW w:w="4645" w:type="dxa"/>
          </w:tcPr>
          <w:p w14:paraId="744F3245" w14:textId="7B8A0405" w:rsidR="00B51927" w:rsidRPr="005157CB" w:rsidRDefault="00E052DE" w:rsidP="007B6556">
            <w:pPr>
              <w:spacing w:line="276" w:lineRule="auto"/>
              <w:rPr>
                <w:rStyle w:val="IASOIChar"/>
                <w:rFonts w:ascii="Times New Roman" w:hAnsi="Times New Roman"/>
                <w:b w:val="0"/>
                <w:sz w:val="24"/>
                <w:szCs w:val="24"/>
              </w:rPr>
            </w:pPr>
            <w:r w:rsidRPr="005157CB">
              <w:rPr>
                <w:rStyle w:val="IASOIChar"/>
                <w:rFonts w:ascii="Times New Roman" w:hAnsi="Times New Roman"/>
                <w:b w:val="0"/>
                <w:sz w:val="24"/>
                <w:szCs w:val="24"/>
              </w:rPr>
              <w:fldChar w:fldCharType="begin">
                <w:ffData>
                  <w:name w:val=""/>
                  <w:enabled/>
                  <w:calcOnExit w:val="0"/>
                  <w:ddList>
                    <w:listEntry w:val="Jo e zbatueshme"/>
                    <w:listEntry w:val="Direktiva"/>
                    <w:listEntry w:val="Direktiva / Jo e zbatueshme"/>
                  </w:ddList>
                </w:ffData>
              </w:fldChar>
            </w:r>
            <w:r w:rsidRPr="005157CB">
              <w:rPr>
                <w:rStyle w:val="IASOIChar"/>
                <w:rFonts w:ascii="Times New Roman" w:hAnsi="Times New Roman"/>
                <w:b w:val="0"/>
                <w:sz w:val="24"/>
                <w:szCs w:val="24"/>
              </w:rPr>
              <w:instrText xml:space="preserve"> FORMDROPDOWN </w:instrText>
            </w:r>
            <w:r w:rsidR="00C278E6">
              <w:rPr>
                <w:rStyle w:val="IASOIChar"/>
                <w:rFonts w:ascii="Times New Roman" w:hAnsi="Times New Roman"/>
                <w:b w:val="0"/>
                <w:sz w:val="24"/>
                <w:szCs w:val="24"/>
              </w:rPr>
            </w:r>
            <w:r w:rsidR="00C278E6">
              <w:rPr>
                <w:rStyle w:val="IASOIChar"/>
                <w:rFonts w:ascii="Times New Roman" w:hAnsi="Times New Roman"/>
                <w:b w:val="0"/>
                <w:sz w:val="24"/>
                <w:szCs w:val="24"/>
              </w:rPr>
              <w:fldChar w:fldCharType="separate"/>
            </w:r>
            <w:r w:rsidRPr="005157CB">
              <w:rPr>
                <w:rStyle w:val="IASOIChar"/>
                <w:rFonts w:ascii="Times New Roman" w:hAnsi="Times New Roman"/>
                <w:b w:val="0"/>
                <w:sz w:val="24"/>
                <w:szCs w:val="24"/>
              </w:rPr>
              <w:fldChar w:fldCharType="end"/>
            </w:r>
            <w:r w:rsidR="00584C71" w:rsidRPr="005157CB">
              <w:rPr>
                <w:rStyle w:val="IASOIChar"/>
                <w:rFonts w:ascii="Times New Roman" w:hAnsi="Times New Roman"/>
                <w:b w:val="0"/>
                <w:sz w:val="24"/>
                <w:szCs w:val="24"/>
              </w:rPr>
              <w:t xml:space="preserve">   </w:t>
            </w:r>
          </w:p>
          <w:p w14:paraId="2E8F403F" w14:textId="7A3D8CE7" w:rsidR="00584C71" w:rsidRPr="005157CB" w:rsidRDefault="002E753B" w:rsidP="002E753B">
            <w:pPr>
              <w:spacing w:line="276" w:lineRule="auto"/>
              <w:rPr>
                <w:rFonts w:ascii="Times New Roman" w:hAnsi="Times New Roman"/>
                <w:b/>
                <w:sz w:val="24"/>
                <w:szCs w:val="24"/>
                <w:lang w:val="sq-AL"/>
              </w:rPr>
            </w:pPr>
            <w:r w:rsidRPr="005157CB">
              <w:rPr>
                <w:szCs w:val="24"/>
              </w:rPr>
              <w:fldChar w:fldCharType="begin">
                <w:ffData>
                  <w:name w:val=""/>
                  <w:enabled/>
                  <w:calcOnExit w:val="0"/>
                  <w:textInput>
                    <w:maxLength w:val="50"/>
                  </w:textInput>
                </w:ffData>
              </w:fldChar>
            </w:r>
            <w:r w:rsidRPr="005157CB">
              <w:rPr>
                <w:rFonts w:ascii="Times New Roman" w:hAnsi="Times New Roman"/>
                <w:sz w:val="24"/>
                <w:szCs w:val="24"/>
              </w:rPr>
              <w:instrText xml:space="preserve"> FORMTEXT </w:instrText>
            </w:r>
            <w:r w:rsidRPr="005157CB">
              <w:rPr>
                <w:szCs w:val="24"/>
              </w:rPr>
            </w:r>
            <w:r w:rsidRPr="005157CB">
              <w:rPr>
                <w:szCs w:val="24"/>
              </w:rPr>
              <w:fldChar w:fldCharType="separate"/>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rFonts w:ascii="Times New Roman" w:hAnsi="Times New Roman"/>
                <w:noProof/>
                <w:sz w:val="24"/>
                <w:szCs w:val="24"/>
              </w:rPr>
              <w:t> </w:t>
            </w:r>
            <w:r w:rsidRPr="005157CB">
              <w:rPr>
                <w:szCs w:val="24"/>
              </w:rPr>
              <w:fldChar w:fldCharType="end"/>
            </w:r>
            <w:r w:rsidR="00584C71" w:rsidRPr="005157CB">
              <w:rPr>
                <w:rStyle w:val="IASOIChar"/>
                <w:rFonts w:ascii="Times New Roman" w:hAnsi="Times New Roman"/>
                <w:b w:val="0"/>
                <w:sz w:val="24"/>
                <w:szCs w:val="24"/>
              </w:rPr>
              <w:t xml:space="preserve">  </w:t>
            </w:r>
          </w:p>
        </w:tc>
      </w:tr>
      <w:tr w:rsidR="00C84F64" w:rsidRPr="00325A1F" w14:paraId="735B259E" w14:textId="77777777" w:rsidTr="00D7719D">
        <w:trPr>
          <w:trHeight w:val="980"/>
        </w:trPr>
        <w:tc>
          <w:tcPr>
            <w:tcW w:w="5070" w:type="dxa"/>
          </w:tcPr>
          <w:p w14:paraId="4EA9B943"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PUBLIKIMET DHE STRATEGJITË E LIDHURA</w:t>
            </w:r>
          </w:p>
        </w:tc>
        <w:tc>
          <w:tcPr>
            <w:tcW w:w="4645" w:type="dxa"/>
          </w:tcPr>
          <w:p w14:paraId="61948C1C" w14:textId="47CC6F2D" w:rsidR="00954A5F" w:rsidRPr="005157CB" w:rsidRDefault="00954A5F" w:rsidP="00954A5F">
            <w:pPr>
              <w:spacing w:after="5" w:line="276" w:lineRule="auto"/>
              <w:ind w:left="-3" w:right="22" w:hanging="9"/>
              <w:jc w:val="both"/>
              <w:rPr>
                <w:rFonts w:ascii="Times New Roman" w:hAnsi="Times New Roman"/>
                <w:sz w:val="24"/>
                <w:szCs w:val="24"/>
                <w:lang w:val="sq-AL" w:eastAsia="sq-AL"/>
              </w:rPr>
            </w:pPr>
            <w:r w:rsidRPr="005157CB">
              <w:rPr>
                <w:rFonts w:ascii="Times New Roman" w:hAnsi="Times New Roman"/>
                <w:sz w:val="24"/>
                <w:szCs w:val="24"/>
                <w:lang w:val="sq-AL"/>
              </w:rPr>
              <w:t xml:space="preserve">Ky projektligj ka lidhje me Programin e Përgjithshëm Analitik </w:t>
            </w:r>
            <w:r w:rsidR="005157CB">
              <w:rPr>
                <w:rFonts w:ascii="Times New Roman" w:hAnsi="Times New Roman"/>
                <w:sz w:val="24"/>
                <w:szCs w:val="24"/>
                <w:lang w:val="sq-AL"/>
              </w:rPr>
              <w:t>të Projektakteve të vitit 2022.</w:t>
            </w:r>
            <w:r w:rsidR="00C03CED">
              <w:rPr>
                <w:rFonts w:ascii="Times New Roman" w:hAnsi="Times New Roman"/>
                <w:sz w:val="24"/>
                <w:szCs w:val="24"/>
                <w:lang w:val="sq-AL"/>
              </w:rPr>
              <w:t xml:space="preserve"> </w:t>
            </w:r>
            <w:r w:rsidRPr="005157CB">
              <w:rPr>
                <w:rFonts w:ascii="Times New Roman" w:hAnsi="Times New Roman"/>
                <w:sz w:val="24"/>
                <w:szCs w:val="24"/>
                <w:lang w:val="sq-AL"/>
              </w:rPr>
              <w:t xml:space="preserve">Konkretisht, projektligji respektiv  </w:t>
            </w:r>
            <w:r w:rsidRPr="005157CB">
              <w:rPr>
                <w:rFonts w:ascii="Times New Roman" w:hAnsi="Times New Roman"/>
                <w:sz w:val="24"/>
                <w:szCs w:val="24"/>
                <w:lang w:val="sq-AL" w:eastAsia="sq-AL"/>
              </w:rPr>
              <w:t xml:space="preserve"> është i parashikuar në programin analitik të përgjithshëm të projektakteve të miratuar me vendimin nr. 850, datë 29.12.2021, të Këshillit të Ministrave, “</w:t>
            </w:r>
            <w:r w:rsidRPr="005157CB">
              <w:rPr>
                <w:rFonts w:ascii="Times New Roman" w:hAnsi="Times New Roman"/>
                <w:i/>
                <w:sz w:val="24"/>
                <w:szCs w:val="24"/>
                <w:lang w:val="sq-AL" w:eastAsia="sq-AL"/>
              </w:rPr>
              <w:t>Për miratimin e programit të përgjithshëm analitik të projektakteve që do të paraqiten për shqyrtim në Këshillin e Ministrave gjatë 2022</w:t>
            </w:r>
            <w:r w:rsidR="00C03CED">
              <w:rPr>
                <w:rFonts w:ascii="Times New Roman" w:hAnsi="Times New Roman"/>
                <w:sz w:val="24"/>
                <w:szCs w:val="24"/>
                <w:lang w:val="sq-AL" w:eastAsia="sq-AL"/>
              </w:rPr>
              <w:t>”, për katërmujorin e dy</w:t>
            </w:r>
            <w:r w:rsidRPr="005157CB">
              <w:rPr>
                <w:rFonts w:ascii="Times New Roman" w:hAnsi="Times New Roman"/>
                <w:sz w:val="24"/>
                <w:szCs w:val="24"/>
                <w:lang w:val="sq-AL" w:eastAsia="sq-AL"/>
              </w:rPr>
              <w:t>të.</w:t>
            </w:r>
          </w:p>
          <w:p w14:paraId="60352F0E" w14:textId="11AE2A2C" w:rsidR="00CA40EE" w:rsidRPr="005157CB" w:rsidRDefault="00CA40EE" w:rsidP="00E052DE">
            <w:pPr>
              <w:spacing w:line="276" w:lineRule="auto"/>
              <w:jc w:val="both"/>
              <w:rPr>
                <w:rFonts w:ascii="Times New Roman" w:hAnsi="Times New Roman"/>
                <w:sz w:val="24"/>
                <w:szCs w:val="24"/>
                <w:lang w:val="sq-AL"/>
              </w:rPr>
            </w:pPr>
          </w:p>
        </w:tc>
      </w:tr>
      <w:tr w:rsidR="00C84F64" w:rsidRPr="00325A1F" w14:paraId="2507E6DF" w14:textId="77777777" w:rsidTr="00D7719D">
        <w:tc>
          <w:tcPr>
            <w:tcW w:w="5070" w:type="dxa"/>
          </w:tcPr>
          <w:p w14:paraId="0ABF1011"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DATA E KONSULTIMIT PUBLIK</w:t>
            </w:r>
          </w:p>
        </w:tc>
        <w:tc>
          <w:tcPr>
            <w:tcW w:w="4645" w:type="dxa"/>
          </w:tcPr>
          <w:p w14:paraId="5ED824C8" w14:textId="41A30098" w:rsidR="00CA40EE" w:rsidRPr="005157CB" w:rsidRDefault="00A763D5" w:rsidP="00A763D5">
            <w:pPr>
              <w:spacing w:line="276" w:lineRule="auto"/>
              <w:jc w:val="both"/>
              <w:rPr>
                <w:rFonts w:ascii="Times New Roman" w:hAnsi="Times New Roman"/>
                <w:sz w:val="24"/>
                <w:szCs w:val="24"/>
                <w:lang w:val="sq-AL"/>
              </w:rPr>
            </w:pPr>
            <w:r w:rsidRPr="005157CB">
              <w:rPr>
                <w:rFonts w:ascii="Times New Roman" w:hAnsi="Times New Roman"/>
                <w:sz w:val="24"/>
                <w:szCs w:val="24"/>
                <w:lang w:val="sq-AL"/>
              </w:rPr>
              <w:t>(</w:t>
            </w:r>
            <w:r w:rsidRPr="005157CB">
              <w:rPr>
                <w:rFonts w:ascii="Times New Roman" w:hAnsi="Times New Roman"/>
                <w:i/>
                <w:sz w:val="24"/>
                <w:szCs w:val="24"/>
                <w:lang w:val="sq-AL"/>
              </w:rPr>
              <w:t>për t’u plotësuar pasi të publikohet në Regjistrin për Njoftimet dhe Konsultimet Publike</w:t>
            </w:r>
            <w:r w:rsidRPr="005157CB">
              <w:rPr>
                <w:rFonts w:ascii="Times New Roman" w:hAnsi="Times New Roman"/>
                <w:sz w:val="24"/>
                <w:szCs w:val="24"/>
                <w:lang w:val="sq-AL"/>
              </w:rPr>
              <w:t>)</w:t>
            </w:r>
          </w:p>
        </w:tc>
      </w:tr>
      <w:tr w:rsidR="00C84F64" w:rsidRPr="00325A1F" w14:paraId="3A928518" w14:textId="77777777" w:rsidTr="00D7719D">
        <w:tc>
          <w:tcPr>
            <w:tcW w:w="5070" w:type="dxa"/>
          </w:tcPr>
          <w:p w14:paraId="3B30C72A"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DATA E VLERËSIMIT TË NDIKIMIT </w:t>
            </w:r>
          </w:p>
        </w:tc>
        <w:tc>
          <w:tcPr>
            <w:tcW w:w="4645" w:type="dxa"/>
          </w:tcPr>
          <w:p w14:paraId="59555B0A" w14:textId="46593736" w:rsidR="00CA40EE" w:rsidRPr="005157CB" w:rsidRDefault="00C278E6" w:rsidP="003B5CBC">
            <w:pPr>
              <w:spacing w:line="276" w:lineRule="auto"/>
              <w:jc w:val="both"/>
              <w:rPr>
                <w:rFonts w:ascii="Times New Roman" w:hAnsi="Times New Roman"/>
                <w:sz w:val="24"/>
                <w:szCs w:val="24"/>
                <w:lang w:val="sq-AL"/>
              </w:rPr>
            </w:pPr>
            <w:sdt>
              <w:sdtPr>
                <w:rPr>
                  <w:szCs w:val="24"/>
                  <w:lang w:val="sq-AL"/>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showingPlcHdr/>
                <w:date>
                  <w:dateFormat w:val="dd/MM/yyyy"/>
                  <w:lid w:val="en-US"/>
                  <w:storeMappedDataAs w:val="dateTime"/>
                  <w:calendar w:val="gregorian"/>
                </w:date>
              </w:sdtPr>
              <w:sdtEndPr/>
              <w:sdtContent>
                <w:r w:rsidR="003B5CBC" w:rsidRPr="005157CB">
                  <w:rPr>
                    <w:rStyle w:val="PlaceholderText"/>
                    <w:rFonts w:ascii="Times New Roman" w:eastAsiaTheme="majorEastAsia" w:hAnsi="Times New Roman"/>
                    <w:sz w:val="24"/>
                    <w:szCs w:val="24"/>
                    <w:lang w:val="sq-AL"/>
                  </w:rPr>
                  <w:t xml:space="preserve">Data e </w:t>
                </w:r>
                <w:r w:rsidR="003B5CBC" w:rsidRPr="005157CB">
                  <w:rPr>
                    <w:rStyle w:val="PlaceholderText"/>
                    <w:rFonts w:ascii="Times New Roman" w:hAnsi="Times New Roman"/>
                    <w:sz w:val="24"/>
                    <w:szCs w:val="24"/>
                    <w:lang w:val="sq-AL"/>
                  </w:rPr>
                  <w:t>vlerës</w:t>
                </w:r>
                <w:r w:rsidR="003B5CBC" w:rsidRPr="005157CB">
                  <w:rPr>
                    <w:rStyle w:val="PlaceholderText"/>
                    <w:rFonts w:ascii="Times New Roman" w:eastAsiaTheme="majorEastAsia" w:hAnsi="Times New Roman"/>
                    <w:sz w:val="24"/>
                    <w:szCs w:val="24"/>
                    <w:lang w:val="sq-AL"/>
                  </w:rPr>
                  <w:t>imit të ndikimit</w:t>
                </w:r>
              </w:sdtContent>
            </w:sdt>
          </w:p>
        </w:tc>
      </w:tr>
      <w:tr w:rsidR="00C84F64" w:rsidRPr="00325A1F" w14:paraId="6185A770" w14:textId="77777777" w:rsidTr="00D7719D">
        <w:tc>
          <w:tcPr>
            <w:tcW w:w="5070" w:type="dxa"/>
          </w:tcPr>
          <w:p w14:paraId="2208CA3B"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A E KA SHQYRTUAR KRYEMINISTRIA VLERËSIMIN E NDIKIMIT? </w:t>
            </w:r>
          </w:p>
          <w:p w14:paraId="4642EB1C"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NËSE PO, JEPNI DATËN E SHQYRTIMIT</w:t>
            </w:r>
          </w:p>
        </w:tc>
        <w:tc>
          <w:tcPr>
            <w:tcW w:w="4645" w:type="dxa"/>
          </w:tcPr>
          <w:p w14:paraId="6507B033" w14:textId="2ED4F75C" w:rsidR="006B131C" w:rsidRPr="005157CB" w:rsidRDefault="00E052DE" w:rsidP="007B6556">
            <w:pPr>
              <w:spacing w:line="276" w:lineRule="auto"/>
              <w:rPr>
                <w:rStyle w:val="IASOIChar"/>
                <w:rFonts w:ascii="Times New Roman" w:hAnsi="Times New Roman"/>
                <w:b w:val="0"/>
                <w:sz w:val="24"/>
                <w:szCs w:val="24"/>
                <w:lang w:val="sq-AL"/>
              </w:rPr>
            </w:pPr>
            <w:r w:rsidRPr="005157CB">
              <w:rPr>
                <w:rStyle w:val="IASOIChar"/>
                <w:rFonts w:ascii="Times New Roman" w:hAnsi="Times New Roman"/>
                <w:b w:val="0"/>
                <w:sz w:val="24"/>
                <w:szCs w:val="24"/>
                <w:lang w:val="sq-AL"/>
              </w:rPr>
              <w:fldChar w:fldCharType="begin">
                <w:ffData>
                  <w:name w:val="ShqyrtuarKM"/>
                  <w:enabled/>
                  <w:calcOnExit w:val="0"/>
                  <w:ddList>
                    <w:listEntry w:val="Po"/>
                    <w:listEntry w:val="Po/Jo"/>
                    <w:listEntry w:val="Jo"/>
                  </w:ddList>
                </w:ffData>
              </w:fldChar>
            </w:r>
            <w:bookmarkStart w:id="1" w:name="ShqyrtuarKM"/>
            <w:r w:rsidRPr="005157CB">
              <w:rPr>
                <w:rStyle w:val="IASOIChar"/>
                <w:rFonts w:ascii="Times New Roman" w:hAnsi="Times New Roman"/>
                <w:b w:val="0"/>
                <w:sz w:val="24"/>
                <w:szCs w:val="24"/>
                <w:lang w:val="sq-AL"/>
              </w:rPr>
              <w:instrText xml:space="preserve"> FORMDROPDOWN </w:instrText>
            </w:r>
            <w:r w:rsidR="00C278E6">
              <w:rPr>
                <w:rStyle w:val="IASOIChar"/>
                <w:rFonts w:ascii="Times New Roman" w:hAnsi="Times New Roman"/>
                <w:b w:val="0"/>
                <w:sz w:val="24"/>
                <w:szCs w:val="24"/>
                <w:lang w:val="sq-AL"/>
              </w:rPr>
            </w:r>
            <w:r w:rsidR="00C278E6">
              <w:rPr>
                <w:rStyle w:val="IASOIChar"/>
                <w:rFonts w:ascii="Times New Roman" w:hAnsi="Times New Roman"/>
                <w:b w:val="0"/>
                <w:sz w:val="24"/>
                <w:szCs w:val="24"/>
                <w:lang w:val="sq-AL"/>
              </w:rPr>
              <w:fldChar w:fldCharType="separate"/>
            </w:r>
            <w:r w:rsidRPr="005157CB">
              <w:rPr>
                <w:rStyle w:val="IASOIChar"/>
                <w:rFonts w:ascii="Times New Roman" w:hAnsi="Times New Roman"/>
                <w:b w:val="0"/>
                <w:sz w:val="24"/>
                <w:szCs w:val="24"/>
                <w:lang w:val="sq-AL"/>
              </w:rPr>
              <w:fldChar w:fldCharType="end"/>
            </w:r>
            <w:bookmarkEnd w:id="1"/>
          </w:p>
          <w:p w14:paraId="10427B6C" w14:textId="1B184025" w:rsidR="008326DB" w:rsidRPr="005157CB" w:rsidRDefault="00C278E6" w:rsidP="003B5CBC">
            <w:pPr>
              <w:tabs>
                <w:tab w:val="left" w:pos="795"/>
              </w:tabs>
              <w:spacing w:line="276" w:lineRule="auto"/>
              <w:jc w:val="both"/>
              <w:rPr>
                <w:rFonts w:ascii="Times New Roman" w:hAnsi="Times New Roman"/>
                <w:sz w:val="24"/>
                <w:szCs w:val="24"/>
                <w:lang w:val="sq-AL"/>
              </w:rPr>
            </w:pPr>
            <w:sdt>
              <w:sdtPr>
                <w:rPr>
                  <w:szCs w:val="24"/>
                  <w:lang w:val="sq-AL"/>
                </w:rPr>
                <w:alias w:val="Data e shqyrtimit nga Kryeministria"/>
                <w:tag w:val="Data e shqyrtimit nga Kryeministria"/>
                <w:id w:val="-1285451"/>
                <w:placeholder>
                  <w:docPart w:val="1AD1A34C84384DA5B2C88EB652FCD115"/>
                </w:placeholder>
                <w:showingPlcHdr/>
                <w:date>
                  <w:dateFormat w:val="dd/MM/yyyy"/>
                  <w:lid w:val="en-US"/>
                  <w:storeMappedDataAs w:val="dateTime"/>
                  <w:calendar w:val="gregorian"/>
                </w:date>
              </w:sdtPr>
              <w:sdtEndPr/>
              <w:sdtContent>
                <w:r w:rsidR="003B5CBC" w:rsidRPr="005157CB">
                  <w:rPr>
                    <w:rStyle w:val="PlaceholderText"/>
                    <w:rFonts w:ascii="Times New Roman" w:eastAsiaTheme="majorEastAsia" w:hAnsi="Times New Roman"/>
                    <w:sz w:val="24"/>
                    <w:szCs w:val="24"/>
                    <w:lang w:val="sq-AL"/>
                  </w:rPr>
                  <w:t>Data e shqyrtimit</w:t>
                </w:r>
              </w:sdtContent>
            </w:sdt>
          </w:p>
        </w:tc>
      </w:tr>
      <w:tr w:rsidR="00C84F64" w:rsidRPr="00325A1F" w14:paraId="75141EF4" w14:textId="77777777" w:rsidTr="00D7719D">
        <w:tc>
          <w:tcPr>
            <w:tcW w:w="5070" w:type="dxa"/>
          </w:tcPr>
          <w:p w14:paraId="5F755F48"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NUMRI I VLERËSIMIT TË NDIKIMIT</w:t>
            </w:r>
          </w:p>
        </w:tc>
        <w:tc>
          <w:tcPr>
            <w:tcW w:w="4645" w:type="dxa"/>
          </w:tcPr>
          <w:p w14:paraId="34D54711" w14:textId="28098739" w:rsidR="00CA40EE" w:rsidRPr="005157CB" w:rsidRDefault="00E052DE" w:rsidP="00E052DE">
            <w:pPr>
              <w:spacing w:line="276" w:lineRule="auto"/>
              <w:rPr>
                <w:rFonts w:ascii="Times New Roman" w:hAnsi="Times New Roman"/>
                <w:sz w:val="24"/>
                <w:szCs w:val="24"/>
                <w:lang w:val="sq-AL"/>
              </w:rPr>
            </w:pPr>
            <w:r w:rsidRPr="005157CB">
              <w:rPr>
                <w:szCs w:val="24"/>
                <w:lang w:val="sq-AL"/>
              </w:rPr>
              <w:fldChar w:fldCharType="begin">
                <w:ffData>
                  <w:name w:val=""/>
                  <w:enabled/>
                  <w:calcOnExit/>
                  <w:textInput>
                    <w:type w:val="number"/>
                    <w:default w:val="2020"/>
                    <w:maxLength w:val="4"/>
                  </w:textInput>
                </w:ffData>
              </w:fldChar>
            </w:r>
            <w:r w:rsidRPr="005157CB">
              <w:rPr>
                <w:rFonts w:ascii="Times New Roman" w:hAnsi="Times New Roman"/>
                <w:sz w:val="24"/>
                <w:szCs w:val="24"/>
                <w:lang w:val="sq-AL"/>
              </w:rPr>
              <w:instrText xml:space="preserve"> FORMTEXT </w:instrText>
            </w:r>
            <w:r w:rsidRPr="005157CB">
              <w:rPr>
                <w:szCs w:val="24"/>
                <w:lang w:val="sq-AL"/>
              </w:rPr>
            </w:r>
            <w:r w:rsidRPr="005157CB">
              <w:rPr>
                <w:szCs w:val="24"/>
                <w:lang w:val="sq-AL"/>
              </w:rPr>
              <w:fldChar w:fldCharType="separate"/>
            </w:r>
            <w:r w:rsidRPr="005157CB">
              <w:rPr>
                <w:rFonts w:ascii="Times New Roman" w:hAnsi="Times New Roman"/>
                <w:noProof/>
                <w:sz w:val="24"/>
                <w:szCs w:val="24"/>
                <w:lang w:val="sq-AL"/>
              </w:rPr>
              <w:t>2020</w:t>
            </w:r>
            <w:r w:rsidRPr="005157CB">
              <w:rPr>
                <w:szCs w:val="24"/>
                <w:lang w:val="sq-AL"/>
              </w:rPr>
              <w:fldChar w:fldCharType="end"/>
            </w:r>
            <w:r w:rsidR="00FF0F21" w:rsidRPr="005157CB">
              <w:rPr>
                <w:rFonts w:ascii="Times New Roman" w:hAnsi="Times New Roman"/>
                <w:sz w:val="24"/>
                <w:szCs w:val="24"/>
                <w:lang w:val="sq-AL"/>
              </w:rPr>
              <w:t xml:space="preserve">– </w:t>
            </w:r>
            <w:r w:rsidRPr="005157CB">
              <w:rPr>
                <w:szCs w:val="24"/>
                <w:lang w:val="sq-AL"/>
              </w:rPr>
              <w:fldChar w:fldCharType="begin">
                <w:ffData>
                  <w:name w:val=""/>
                  <w:enabled/>
                  <w:calcOnExit w:val="0"/>
                  <w:textInput>
                    <w:default w:val="MD"/>
                    <w:maxLength w:val="4"/>
                  </w:textInput>
                </w:ffData>
              </w:fldChar>
            </w:r>
            <w:r w:rsidRPr="005157CB">
              <w:rPr>
                <w:rFonts w:ascii="Times New Roman" w:hAnsi="Times New Roman"/>
                <w:sz w:val="24"/>
                <w:szCs w:val="24"/>
                <w:lang w:val="sq-AL"/>
              </w:rPr>
              <w:instrText xml:space="preserve"> FORMTEXT </w:instrText>
            </w:r>
            <w:r w:rsidRPr="005157CB">
              <w:rPr>
                <w:szCs w:val="24"/>
                <w:lang w:val="sq-AL"/>
              </w:rPr>
            </w:r>
            <w:r w:rsidRPr="005157CB">
              <w:rPr>
                <w:szCs w:val="24"/>
                <w:lang w:val="sq-AL"/>
              </w:rPr>
              <w:fldChar w:fldCharType="separate"/>
            </w:r>
            <w:r w:rsidRPr="005157CB">
              <w:rPr>
                <w:rFonts w:ascii="Times New Roman" w:hAnsi="Times New Roman"/>
                <w:noProof/>
                <w:sz w:val="24"/>
                <w:szCs w:val="24"/>
                <w:lang w:val="sq-AL"/>
              </w:rPr>
              <w:t>MD</w:t>
            </w:r>
            <w:r w:rsidRPr="005157CB">
              <w:rPr>
                <w:szCs w:val="24"/>
                <w:lang w:val="sq-AL"/>
              </w:rPr>
              <w:fldChar w:fldCharType="end"/>
            </w:r>
            <w:r w:rsidR="00B51927" w:rsidRPr="005157CB">
              <w:rPr>
                <w:rStyle w:val="IASOIChar"/>
                <w:rFonts w:ascii="Times New Roman" w:hAnsi="Times New Roman"/>
                <w:b w:val="0"/>
                <w:sz w:val="24"/>
                <w:szCs w:val="24"/>
                <w:lang w:val="sq-AL"/>
              </w:rPr>
              <w:t xml:space="preserve">  </w:t>
            </w:r>
            <w:r w:rsidR="00FF0F21" w:rsidRPr="005157CB">
              <w:rPr>
                <w:rFonts w:ascii="Times New Roman" w:hAnsi="Times New Roman"/>
                <w:sz w:val="24"/>
                <w:szCs w:val="24"/>
                <w:lang w:val="sq-AL"/>
              </w:rPr>
              <w:t xml:space="preserve">–  </w:t>
            </w:r>
            <w:r w:rsidR="00A763D5" w:rsidRPr="005157CB">
              <w:rPr>
                <w:rFonts w:ascii="Times New Roman" w:hAnsi="Times New Roman"/>
                <w:sz w:val="24"/>
                <w:szCs w:val="24"/>
                <w:lang w:val="sq-AL"/>
              </w:rPr>
              <w:t>3</w:t>
            </w:r>
          </w:p>
        </w:tc>
      </w:tr>
      <w:tr w:rsidR="00C84F64" w:rsidRPr="00325A1F" w14:paraId="08E498EE" w14:textId="77777777" w:rsidTr="00D7719D">
        <w:tc>
          <w:tcPr>
            <w:tcW w:w="5070" w:type="dxa"/>
          </w:tcPr>
          <w:p w14:paraId="1FF4774B"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 xml:space="preserve">TE DHËNA KONTAKTI </w:t>
            </w:r>
          </w:p>
          <w:p w14:paraId="00914D72" w14:textId="77777777" w:rsidR="00CA40EE" w:rsidRPr="005157CB" w:rsidRDefault="00CA40EE" w:rsidP="007B6556">
            <w:pPr>
              <w:spacing w:line="276" w:lineRule="auto"/>
              <w:rPr>
                <w:rFonts w:ascii="Times New Roman" w:hAnsi="Times New Roman"/>
                <w:b/>
                <w:sz w:val="24"/>
                <w:szCs w:val="24"/>
                <w:lang w:val="sq-AL"/>
              </w:rPr>
            </w:pPr>
            <w:r w:rsidRPr="005157CB">
              <w:rPr>
                <w:rFonts w:ascii="Times New Roman" w:hAnsi="Times New Roman"/>
                <w:b/>
                <w:sz w:val="24"/>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645" w:type="dxa"/>
              </w:tcPr>
              <w:p w14:paraId="035F5AE3" w14:textId="4E5141E8" w:rsidR="00A763D5" w:rsidRPr="005157CB" w:rsidRDefault="00C278E6" w:rsidP="00A763D5">
                <w:pPr>
                  <w:spacing w:line="276" w:lineRule="auto"/>
                  <w:jc w:val="both"/>
                  <w:rPr>
                    <w:rFonts w:ascii="Times New Roman" w:hAnsi="Times New Roman"/>
                    <w:sz w:val="24"/>
                    <w:szCs w:val="24"/>
                    <w:u w:val="single"/>
                    <w:lang w:val="sq-AL"/>
                  </w:rPr>
                </w:pPr>
                <w:hyperlink r:id="rId8" w:history="1">
                  <w:r w:rsidR="005157CB" w:rsidRPr="005157CB">
                    <w:rPr>
                      <w:rStyle w:val="Hyperlink"/>
                      <w:rFonts w:ascii="Times New Roman" w:hAnsi="Times New Roman"/>
                      <w:sz w:val="24"/>
                      <w:szCs w:val="24"/>
                      <w:lang w:val="sq-AL"/>
                    </w:rPr>
                    <w:t>Besmir.Beja@drejtesia.gov.al</w:t>
                  </w:r>
                </w:hyperlink>
              </w:p>
              <w:p w14:paraId="156F6662" w14:textId="77777777" w:rsidR="005157CB" w:rsidRPr="005157CB" w:rsidRDefault="005157CB" w:rsidP="00A763D5">
                <w:pPr>
                  <w:spacing w:line="276" w:lineRule="auto"/>
                  <w:jc w:val="both"/>
                  <w:rPr>
                    <w:rFonts w:ascii="Times New Roman" w:hAnsi="Times New Roman"/>
                    <w:sz w:val="24"/>
                    <w:szCs w:val="24"/>
                    <w:u w:val="single"/>
                  </w:rPr>
                </w:pPr>
              </w:p>
              <w:p w14:paraId="7FCD9BEB" w14:textId="26CEFA0E" w:rsidR="005157CB" w:rsidRPr="005157CB" w:rsidRDefault="00C278E6" w:rsidP="00B17990">
                <w:pPr>
                  <w:spacing w:line="276" w:lineRule="auto"/>
                  <w:jc w:val="both"/>
                  <w:rPr>
                    <w:rFonts w:ascii="Times New Roman" w:hAnsi="Times New Roman"/>
                    <w:sz w:val="24"/>
                    <w:szCs w:val="24"/>
                    <w:lang w:val="sq-AL"/>
                  </w:rPr>
                </w:pPr>
                <w:hyperlink r:id="rId9" w:history="1">
                  <w:r w:rsidR="005157CB" w:rsidRPr="005157CB">
                    <w:rPr>
                      <w:rStyle w:val="Hyperlink"/>
                      <w:rFonts w:ascii="Times New Roman" w:hAnsi="Times New Roman"/>
                      <w:sz w:val="24"/>
                      <w:szCs w:val="24"/>
                      <w:lang w:val="sq-AL"/>
                    </w:rPr>
                    <w:t>Ilir.Bejko@drejtesia.gov.al</w:t>
                  </w:r>
                </w:hyperlink>
              </w:p>
              <w:p w14:paraId="6154AFAE" w14:textId="7F223AD6" w:rsidR="00CA40EE" w:rsidRPr="005157CB" w:rsidRDefault="00CA40EE" w:rsidP="00B17990">
                <w:pPr>
                  <w:spacing w:line="276" w:lineRule="auto"/>
                  <w:jc w:val="both"/>
                  <w:rPr>
                    <w:rFonts w:ascii="Times New Roman" w:hAnsi="Times New Roman"/>
                    <w:sz w:val="24"/>
                    <w:szCs w:val="24"/>
                    <w:lang w:val="sq-AL"/>
                  </w:rPr>
                </w:pPr>
              </w:p>
            </w:tc>
          </w:sdtContent>
        </w:sdt>
      </w:tr>
      <w:tr w:rsidR="00CA40EE" w:rsidRPr="00325A1F" w14:paraId="5382CFFE" w14:textId="77777777" w:rsidTr="00D7719D">
        <w:trPr>
          <w:trHeight w:val="162"/>
        </w:trPr>
        <w:tc>
          <w:tcPr>
            <w:tcW w:w="9715" w:type="dxa"/>
            <w:gridSpan w:val="2"/>
          </w:tcPr>
          <w:p w14:paraId="44CBA4EC" w14:textId="77777777" w:rsidR="00CA40EE" w:rsidRPr="005157CB" w:rsidRDefault="00CA40EE" w:rsidP="007B6556">
            <w:pPr>
              <w:spacing w:line="276" w:lineRule="auto"/>
              <w:jc w:val="both"/>
              <w:rPr>
                <w:rFonts w:ascii="Times New Roman" w:hAnsi="Times New Roman"/>
                <w:b/>
                <w:sz w:val="24"/>
                <w:szCs w:val="24"/>
                <w:lang w:val="sq-AL"/>
              </w:rPr>
            </w:pPr>
          </w:p>
        </w:tc>
      </w:tr>
      <w:tr w:rsidR="00E052DE" w:rsidRPr="00325A1F" w14:paraId="5E27A2CA" w14:textId="77777777" w:rsidTr="00D7719D">
        <w:trPr>
          <w:trHeight w:val="353"/>
        </w:trPr>
        <w:tc>
          <w:tcPr>
            <w:tcW w:w="9715" w:type="dxa"/>
            <w:gridSpan w:val="2"/>
          </w:tcPr>
          <w:p w14:paraId="2C1B839C" w14:textId="77777777" w:rsidR="00E052DE" w:rsidRPr="005157CB" w:rsidRDefault="00E052DE" w:rsidP="000B6C3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t>PJESA 1: PËRMBLEDHJE EKZEKUTIVE</w:t>
            </w:r>
          </w:p>
          <w:p w14:paraId="3694B6D6" w14:textId="77777777" w:rsidR="00E052DE" w:rsidRPr="005157CB" w:rsidRDefault="00E052DE" w:rsidP="000B6C3E">
            <w:pPr>
              <w:spacing w:line="276" w:lineRule="auto"/>
              <w:jc w:val="both"/>
              <w:rPr>
                <w:rFonts w:ascii="Times New Roman" w:hAnsi="Times New Roman"/>
                <w:b/>
                <w:sz w:val="24"/>
                <w:szCs w:val="24"/>
                <w:lang w:val="sq-AL"/>
              </w:rPr>
            </w:pPr>
          </w:p>
          <w:p w14:paraId="08DCDD19" w14:textId="024001D6" w:rsidR="0028154F" w:rsidRPr="005157CB" w:rsidRDefault="007B4B58"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28154F" w:rsidRPr="005157CB">
              <w:rPr>
                <w:rFonts w:ascii="Times New Roman" w:hAnsi="Times New Roman"/>
                <w:sz w:val="24"/>
                <w:szCs w:val="24"/>
                <w:lang w:val="sq-AL"/>
              </w:rPr>
              <w:t>Sikurse dihet tashmë, p</w:t>
            </w:r>
            <w:r w:rsidR="00E052DE" w:rsidRPr="005157CB">
              <w:rPr>
                <w:rFonts w:ascii="Times New Roman" w:hAnsi="Times New Roman"/>
                <w:sz w:val="24"/>
                <w:szCs w:val="24"/>
                <w:lang w:val="sq-AL"/>
              </w:rPr>
              <w:t xml:space="preserve">ërcaktimi i rregullave </w:t>
            </w:r>
            <w:r w:rsidR="0028154F" w:rsidRPr="005157CB">
              <w:rPr>
                <w:rFonts w:ascii="Times New Roman" w:hAnsi="Times New Roman"/>
                <w:sz w:val="24"/>
                <w:szCs w:val="24"/>
                <w:lang w:val="sq-AL"/>
              </w:rPr>
              <w:t xml:space="preserve">ligjore </w:t>
            </w:r>
            <w:r w:rsidR="00E052DE" w:rsidRPr="005157CB">
              <w:rPr>
                <w:rFonts w:ascii="Times New Roman" w:hAnsi="Times New Roman"/>
                <w:sz w:val="24"/>
                <w:szCs w:val="24"/>
                <w:lang w:val="sq-AL"/>
              </w:rPr>
              <w:t xml:space="preserve">për ushtrimin e profesionit të </w:t>
            </w:r>
            <w:r w:rsidR="0028154F" w:rsidRPr="005157CB">
              <w:rPr>
                <w:rFonts w:ascii="Times New Roman" w:hAnsi="Times New Roman"/>
                <w:sz w:val="24"/>
                <w:szCs w:val="24"/>
                <w:lang w:val="sq-AL"/>
              </w:rPr>
              <w:t xml:space="preserve">përmbaruesit gjyqësor shtetëror është një nga prioritetet </w:t>
            </w:r>
            <w:r w:rsidR="00E052DE" w:rsidRPr="005157CB">
              <w:rPr>
                <w:rFonts w:ascii="Times New Roman" w:hAnsi="Times New Roman"/>
                <w:sz w:val="24"/>
                <w:szCs w:val="24"/>
                <w:lang w:val="sq-AL"/>
              </w:rPr>
              <w:t xml:space="preserve">e shtetit shqiptar, Këshillit të Ministrave dhe Ministrisë së Drejtësisë në drejtim të </w:t>
            </w:r>
            <w:r w:rsidR="00E052DE" w:rsidRPr="005157CB">
              <w:rPr>
                <w:rFonts w:ascii="Times New Roman" w:hAnsi="Times New Roman"/>
                <w:color w:val="000000" w:themeColor="text1"/>
                <w:sz w:val="24"/>
                <w:szCs w:val="24"/>
                <w:lang w:val="sq-AL"/>
              </w:rPr>
              <w:t xml:space="preserve">konsolidimit të shtetit të </w:t>
            </w:r>
            <w:r w:rsidR="0028154F" w:rsidRPr="005157CB">
              <w:rPr>
                <w:rFonts w:ascii="Times New Roman" w:hAnsi="Times New Roman"/>
                <w:color w:val="000000" w:themeColor="text1"/>
                <w:sz w:val="24"/>
                <w:szCs w:val="24"/>
                <w:lang w:val="sq-AL"/>
              </w:rPr>
              <w:t xml:space="preserve">së drejtës dhe reformimit të </w:t>
            </w:r>
            <w:r w:rsidR="00E052DE" w:rsidRPr="005157CB">
              <w:rPr>
                <w:rFonts w:ascii="Times New Roman" w:hAnsi="Times New Roman"/>
                <w:sz w:val="24"/>
                <w:szCs w:val="24"/>
                <w:lang w:val="sq-AL"/>
              </w:rPr>
              <w:t>shërbimeve publike</w:t>
            </w:r>
            <w:r w:rsidR="0028154F" w:rsidRPr="005157CB">
              <w:rPr>
                <w:rFonts w:ascii="Times New Roman" w:hAnsi="Times New Roman"/>
                <w:sz w:val="24"/>
                <w:szCs w:val="24"/>
                <w:lang w:val="sq-AL"/>
              </w:rPr>
              <w:t xml:space="preserve">, pasi synohet ofrimi i shërbimeve publike sa më cilësore, profesionale dhe transparente për qytetarët e Republikës së Shqipërisë, duke siguruar standarde profesionale për ofrimin e shërbimit të përmbarimor gjyqësor. </w:t>
            </w:r>
          </w:p>
          <w:p w14:paraId="6C93267D" w14:textId="1BD4A966" w:rsidR="007B4B58" w:rsidRPr="005157CB" w:rsidRDefault="003C536F"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lastRenderedPageBreak/>
              <w:t xml:space="preserve">   </w:t>
            </w:r>
            <w:r w:rsidR="005F500A" w:rsidRPr="005157CB">
              <w:rPr>
                <w:rFonts w:ascii="Times New Roman" w:hAnsi="Times New Roman"/>
                <w:sz w:val="24"/>
                <w:szCs w:val="24"/>
                <w:lang w:val="sq-AL"/>
              </w:rPr>
              <w:t>Në programin e qeverisë shqiptare 2021-2025 parashikohet si një nga objektivat e këtij mandati qeverisës “</w:t>
            </w:r>
            <w:r w:rsidR="005F500A" w:rsidRPr="005157CB">
              <w:rPr>
                <w:rFonts w:ascii="Times New Roman" w:hAnsi="Times New Roman"/>
                <w:i/>
                <w:sz w:val="24"/>
                <w:szCs w:val="24"/>
                <w:lang w:val="sq-AL"/>
              </w:rPr>
              <w:t>Shqipëria e së Drejtës</w:t>
            </w:r>
            <w:r w:rsidR="005F500A" w:rsidRPr="005157CB">
              <w:rPr>
                <w:rFonts w:ascii="Times New Roman" w:hAnsi="Times New Roman"/>
                <w:sz w:val="24"/>
                <w:szCs w:val="24"/>
                <w:lang w:val="sq-AL"/>
              </w:rPr>
              <w:t xml:space="preserve">”, e cila konsiston në vazhdimësinë e Reformës në Drejtësi, e cila mbetet ende një luftë për t’u fituar deri në </w:t>
            </w:r>
            <w:r w:rsidR="005157CB">
              <w:rPr>
                <w:rFonts w:ascii="Times New Roman" w:hAnsi="Times New Roman"/>
                <w:sz w:val="24"/>
                <w:szCs w:val="24"/>
                <w:lang w:val="sq-AL"/>
              </w:rPr>
              <w:t>implementimin e plotë të saj. Po</w:t>
            </w:r>
            <w:r w:rsidR="005F500A" w:rsidRPr="005157CB">
              <w:rPr>
                <w:rFonts w:ascii="Times New Roman" w:hAnsi="Times New Roman"/>
                <w:sz w:val="24"/>
                <w:szCs w:val="24"/>
                <w:lang w:val="sq-AL"/>
              </w:rPr>
              <w:t xml:space="preserve"> kështu, në programin qeverisës paraardhës 2017-2021</w:t>
            </w:r>
            <w:r w:rsidR="00B620AA" w:rsidRPr="005157CB">
              <w:rPr>
                <w:rFonts w:ascii="Times New Roman" w:hAnsi="Times New Roman"/>
                <w:sz w:val="24"/>
                <w:szCs w:val="24"/>
                <w:lang w:val="sq-AL"/>
              </w:rPr>
              <w:t>, në pikën 3.1 “</w:t>
            </w:r>
            <w:r w:rsidR="00B620AA" w:rsidRPr="005157CB">
              <w:rPr>
                <w:rFonts w:ascii="Times New Roman" w:hAnsi="Times New Roman"/>
                <w:i/>
                <w:sz w:val="24"/>
                <w:szCs w:val="24"/>
                <w:lang w:val="sq-AL"/>
              </w:rPr>
              <w:t>Shteti ligjor dhe Drejtësia e Re</w:t>
            </w:r>
            <w:r w:rsidR="00B620AA" w:rsidRPr="005157CB">
              <w:rPr>
                <w:rFonts w:ascii="Times New Roman" w:hAnsi="Times New Roman"/>
                <w:sz w:val="24"/>
                <w:szCs w:val="24"/>
                <w:lang w:val="sq-AL"/>
              </w:rPr>
              <w:t>”</w:t>
            </w:r>
            <w:r w:rsidR="00743086" w:rsidRPr="005157CB">
              <w:rPr>
                <w:rFonts w:ascii="Times New Roman" w:hAnsi="Times New Roman"/>
                <w:sz w:val="24"/>
                <w:szCs w:val="24"/>
                <w:lang w:val="sq-AL"/>
              </w:rPr>
              <w:t xml:space="preserve"> </w:t>
            </w:r>
            <w:r w:rsidR="005157CB">
              <w:rPr>
                <w:rFonts w:ascii="Times New Roman" w:hAnsi="Times New Roman"/>
                <w:sz w:val="24"/>
                <w:szCs w:val="24"/>
                <w:lang w:val="sq-AL"/>
              </w:rPr>
              <w:t xml:space="preserve">ka qenë parashikuar </w:t>
            </w:r>
            <w:r w:rsidR="00743086" w:rsidRPr="005157CB">
              <w:rPr>
                <w:rFonts w:ascii="Times New Roman" w:hAnsi="Times New Roman"/>
                <w:sz w:val="24"/>
                <w:szCs w:val="24"/>
                <w:lang w:val="sq-AL"/>
              </w:rPr>
              <w:t>fokusimi i qeverisë shqiptare në reformimin e thellë të sistemit të ekzekutimit të vendimeve gjyqësore nëpërmjet shërbimit përmbarimor, ku një nga mjetet për kryerjen e këtij reformimi konsistonte në rishikimin e mënyrës së funksionimit dhe organizimit të sistemit të përmbarimit gjyqësor shtetëror, përpos përmbarimit të organizuar mbi baza private. Konkretisht, në nënparagrafin 5 të kësaj pike citohet si vijon:</w:t>
            </w:r>
          </w:p>
          <w:p w14:paraId="399CD574" w14:textId="77777777" w:rsidR="00743086" w:rsidRPr="005157CB" w:rsidRDefault="00743086" w:rsidP="000B6C3E">
            <w:pPr>
              <w:spacing w:line="276" w:lineRule="auto"/>
              <w:ind w:left="720"/>
              <w:jc w:val="both"/>
              <w:rPr>
                <w:rFonts w:ascii="Times New Roman" w:hAnsi="Times New Roman"/>
                <w:i/>
                <w:sz w:val="24"/>
                <w:szCs w:val="24"/>
              </w:rPr>
            </w:pPr>
            <w:r w:rsidRPr="005157CB">
              <w:rPr>
                <w:rFonts w:ascii="Times New Roman" w:hAnsi="Times New Roman"/>
                <w:i/>
                <w:sz w:val="24"/>
                <w:szCs w:val="24"/>
              </w:rPr>
              <w:t>Reformim të thellë do të pësojë edhe sistemi i ekzekutimit të vendimeve gjyqësore nëpërmjet</w:t>
            </w:r>
          </w:p>
          <w:p w14:paraId="1AF0B7AB" w14:textId="77777777" w:rsidR="00743086" w:rsidRPr="005157CB" w:rsidRDefault="00743086" w:rsidP="000B6C3E">
            <w:pPr>
              <w:spacing w:line="276" w:lineRule="auto"/>
              <w:ind w:left="720"/>
              <w:jc w:val="both"/>
              <w:rPr>
                <w:rFonts w:ascii="Times New Roman" w:hAnsi="Times New Roman"/>
                <w:i/>
                <w:sz w:val="24"/>
                <w:szCs w:val="24"/>
              </w:rPr>
            </w:pPr>
            <w:r w:rsidRPr="005157CB">
              <w:rPr>
                <w:rFonts w:ascii="Times New Roman" w:hAnsi="Times New Roman"/>
                <w:i/>
                <w:sz w:val="24"/>
                <w:szCs w:val="24"/>
              </w:rPr>
              <w:t xml:space="preserve">shërbimit përmbarimor. Së pari, do të synojmë thjeshtimin dhe qartësimin e procedurave të </w:t>
            </w:r>
          </w:p>
          <w:p w14:paraId="28AF668C" w14:textId="71226E04" w:rsidR="0028154F" w:rsidRPr="005157CB" w:rsidRDefault="00743086" w:rsidP="000B6C3E">
            <w:pPr>
              <w:spacing w:after="240" w:line="276" w:lineRule="auto"/>
              <w:ind w:left="720"/>
              <w:jc w:val="both"/>
              <w:rPr>
                <w:rFonts w:ascii="Times New Roman" w:hAnsi="Times New Roman"/>
                <w:b/>
                <w:i/>
                <w:sz w:val="24"/>
                <w:szCs w:val="24"/>
              </w:rPr>
            </w:pPr>
            <w:r w:rsidRPr="005157CB">
              <w:rPr>
                <w:rFonts w:ascii="Times New Roman" w:hAnsi="Times New Roman"/>
                <w:i/>
                <w:sz w:val="24"/>
                <w:szCs w:val="24"/>
              </w:rPr>
              <w:t xml:space="preserve">ekzekutimit të vendimeve gjyqësore të formës së prerë. </w:t>
            </w:r>
            <w:r w:rsidRPr="005157CB">
              <w:rPr>
                <w:rFonts w:ascii="Times New Roman" w:hAnsi="Times New Roman"/>
                <w:b/>
                <w:i/>
                <w:sz w:val="24"/>
                <w:szCs w:val="24"/>
              </w:rPr>
              <w:t>Së dyti, do të rishikohet mënyra e  funksionimit dhe organizimit të sistemit të shërbimit shtetëror dhe atij privat të përmbarimit, duke përmirësuar mekanizmat kontrollues të këtij shërbimit të ofruar tek qytetarët. Qëllimi ynë është që gangrena e mosekzekutimit të vendimeve gjyqësore të formës së prerë të marrë fund.</w:t>
            </w:r>
          </w:p>
          <w:p w14:paraId="65E90ED8" w14:textId="5F712E49" w:rsidR="00A21C26" w:rsidRPr="005157CB" w:rsidRDefault="00A21C26" w:rsidP="000B6C3E">
            <w:pPr>
              <w:pStyle w:val="ListParagraph"/>
              <w:numPr>
                <w:ilvl w:val="0"/>
                <w:numId w:val="34"/>
              </w:numPr>
              <w:tabs>
                <w:tab w:val="left" w:pos="720"/>
                <w:tab w:val="left" w:pos="1440"/>
                <w:tab w:val="left" w:pos="2160"/>
                <w:tab w:val="left" w:pos="2880"/>
                <w:tab w:val="left" w:pos="3600"/>
                <w:tab w:val="left" w:pos="4320"/>
                <w:tab w:val="left" w:pos="5312"/>
              </w:tabs>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Ekzekutimi brenda një afati të arsyeshëm i një vendimi të formës së prerë të gjykatës konsiderohet si pjesë përbërëse e të drejtës për një proces të rregullt ligjor në kuptim të Kushtetutës së Republikës së Shqipërisë dhe të Konventës Evropiane për të Drejtat e Njeriut (</w:t>
            </w:r>
            <w:r w:rsidRPr="005157CB">
              <w:rPr>
                <w:rFonts w:ascii="Times New Roman" w:hAnsi="Times New Roman"/>
                <w:i/>
                <w:sz w:val="24"/>
                <w:szCs w:val="24"/>
                <w:lang w:val="sq-AL"/>
              </w:rPr>
              <w:t>shih vendimin nr.27, datë 20.06.2007 të Gjykatës Kushtetuese</w:t>
            </w:r>
            <w:r w:rsidR="0022433C" w:rsidRPr="005157CB">
              <w:rPr>
                <w:rFonts w:ascii="Times New Roman" w:hAnsi="Times New Roman"/>
                <w:sz w:val="24"/>
                <w:szCs w:val="24"/>
                <w:lang w:val="sq-AL"/>
              </w:rPr>
              <w:t xml:space="preserve">). </w:t>
            </w:r>
            <w:r w:rsidRPr="005157CB">
              <w:rPr>
                <w:rFonts w:ascii="Times New Roman" w:hAnsi="Times New Roman"/>
                <w:sz w:val="24"/>
                <w:szCs w:val="24"/>
                <w:lang w:val="sq-AL"/>
              </w:rPr>
              <w:t>Ekzekutimi i vendimit përbën një element thelbësor të shtetit të së drejtës e të vetë</w:t>
            </w:r>
            <w:r w:rsidR="0022433C" w:rsidRPr="005157CB">
              <w:rPr>
                <w:rFonts w:ascii="Times New Roman" w:hAnsi="Times New Roman"/>
                <w:sz w:val="24"/>
                <w:szCs w:val="24"/>
                <w:lang w:val="sq-AL"/>
              </w:rPr>
              <w:t xml:space="preserve"> nocionit të gjykimit të drejtë </w:t>
            </w:r>
            <w:r w:rsidRPr="005157CB">
              <w:rPr>
                <w:rFonts w:ascii="Times New Roman" w:hAnsi="Times New Roman"/>
                <w:sz w:val="24"/>
                <w:szCs w:val="24"/>
                <w:lang w:val="sq-AL"/>
              </w:rPr>
              <w:t>(</w:t>
            </w:r>
            <w:r w:rsidRPr="005157CB">
              <w:rPr>
                <w:rFonts w:ascii="Times New Roman" w:hAnsi="Times New Roman"/>
                <w:i/>
                <w:sz w:val="24"/>
                <w:szCs w:val="24"/>
                <w:lang w:val="sq-AL"/>
              </w:rPr>
              <w:t>shih vendimin nr.6, datë 31.03.2006 të Gjykatës Kushtetuese</w:t>
            </w:r>
            <w:r w:rsidRPr="005157CB">
              <w:rPr>
                <w:rFonts w:ascii="Times New Roman" w:hAnsi="Times New Roman"/>
                <w:sz w:val="24"/>
                <w:szCs w:val="24"/>
                <w:lang w:val="sq-AL"/>
              </w:rPr>
              <w:t>).</w:t>
            </w:r>
          </w:p>
          <w:p w14:paraId="295EEBB8" w14:textId="3A93041F" w:rsidR="00A21C26" w:rsidRPr="005157CB" w:rsidRDefault="00A21C26" w:rsidP="000B6C3E">
            <w:pPr>
              <w:pStyle w:val="ListParagraph"/>
              <w:numPr>
                <w:ilvl w:val="0"/>
                <w:numId w:val="34"/>
              </w:numPr>
              <w:tabs>
                <w:tab w:val="left" w:pos="720"/>
                <w:tab w:val="left" w:pos="1440"/>
                <w:tab w:val="left" w:pos="2160"/>
                <w:tab w:val="left" w:pos="2880"/>
                <w:tab w:val="left" w:pos="3600"/>
                <w:tab w:val="left" w:pos="4320"/>
                <w:tab w:val="left" w:pos="5312"/>
              </w:tabs>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Gjykata Kushtetuese ka theksuar në mënyrë konstante se ekzekutimi i vendimit të formës së prerë të gjykatës konsiderohet si faza përfundimtare e realizimit të një të drejte të fituar gjyqësisht. Vetëm pas realizimit të kësaj faze mund të konsiderohet se individi e ka vendosur plotësisht në vend të drejtën e tij të fituar. Procesi i vendosjes në vend të një të drejte të shkelur përfshin jo vetëm vendimmarrjen e gjykatave, por edhe veprimet konkrete të organeve përgjegjëse të ngarkuara me ekzekutimin e vendimeve gjyqësore të formës së prerë (</w:t>
            </w:r>
            <w:r w:rsidRPr="005157CB">
              <w:rPr>
                <w:rFonts w:ascii="Times New Roman" w:hAnsi="Times New Roman"/>
                <w:i/>
                <w:sz w:val="24"/>
                <w:szCs w:val="24"/>
                <w:lang w:val="sq-AL"/>
              </w:rPr>
              <w:t>shih vendimin nr. 68/2017 të Gjykatës Kushtetuese</w:t>
            </w:r>
            <w:r w:rsidRPr="005157CB">
              <w:rPr>
                <w:rFonts w:ascii="Times New Roman" w:hAnsi="Times New Roman"/>
                <w:sz w:val="24"/>
                <w:szCs w:val="24"/>
                <w:lang w:val="sq-AL"/>
              </w:rPr>
              <w:t xml:space="preserve">). </w:t>
            </w:r>
          </w:p>
          <w:p w14:paraId="47914D68" w14:textId="49A08721" w:rsidR="0028154F" w:rsidRPr="005157CB" w:rsidRDefault="0022433C"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Bazuar në sa më sipër, nisur nga rëndësia e ushtrimit të veprimeve përmbarimore procedurale në funksion të ekzekutimit</w:t>
            </w:r>
            <w:r w:rsidR="000B6C3E">
              <w:rPr>
                <w:rFonts w:ascii="Times New Roman" w:hAnsi="Times New Roman"/>
                <w:sz w:val="24"/>
                <w:szCs w:val="24"/>
                <w:lang w:val="sq-AL"/>
              </w:rPr>
              <w:t xml:space="preserve"> të detyrueshëm</w:t>
            </w:r>
            <w:r w:rsidRPr="005157CB">
              <w:rPr>
                <w:rFonts w:ascii="Times New Roman" w:hAnsi="Times New Roman"/>
                <w:sz w:val="24"/>
                <w:szCs w:val="24"/>
                <w:lang w:val="sq-AL"/>
              </w:rPr>
              <w:t xml:space="preserve"> të vendimeve gjyqësore (</w:t>
            </w:r>
            <w:r w:rsidRPr="000B6C3E">
              <w:rPr>
                <w:rFonts w:ascii="Times New Roman" w:hAnsi="Times New Roman"/>
                <w:i/>
                <w:sz w:val="24"/>
                <w:szCs w:val="24"/>
                <w:lang w:val="sq-AL"/>
              </w:rPr>
              <w:t>titujve ekzekutivë</w:t>
            </w:r>
            <w:r w:rsidRPr="005157CB">
              <w:rPr>
                <w:rFonts w:ascii="Times New Roman" w:hAnsi="Times New Roman"/>
                <w:sz w:val="24"/>
                <w:szCs w:val="24"/>
                <w:lang w:val="sq-AL"/>
              </w:rPr>
              <w:t>)</w:t>
            </w:r>
            <w:r w:rsidR="007B6357" w:rsidRPr="005157CB">
              <w:rPr>
                <w:rFonts w:ascii="Times New Roman" w:hAnsi="Times New Roman"/>
                <w:sz w:val="24"/>
                <w:szCs w:val="24"/>
                <w:lang w:val="sq-AL"/>
              </w:rPr>
              <w:t>, ofrimi i shërbimeve përmbarimor</w:t>
            </w:r>
            <w:r w:rsidR="00E07BCC" w:rsidRPr="005157CB">
              <w:rPr>
                <w:rFonts w:ascii="Times New Roman" w:hAnsi="Times New Roman"/>
                <w:sz w:val="24"/>
                <w:szCs w:val="24"/>
                <w:lang w:val="sq-AL"/>
              </w:rPr>
              <w:t>e</w:t>
            </w:r>
            <w:r w:rsidR="007B6357" w:rsidRPr="005157CB">
              <w:rPr>
                <w:rFonts w:ascii="Times New Roman" w:hAnsi="Times New Roman"/>
                <w:sz w:val="24"/>
                <w:szCs w:val="24"/>
                <w:lang w:val="sq-AL"/>
              </w:rPr>
              <w:t xml:space="preserve"> shtetëror</w:t>
            </w:r>
            <w:r w:rsidR="00E07BCC" w:rsidRPr="005157CB">
              <w:rPr>
                <w:rFonts w:ascii="Times New Roman" w:hAnsi="Times New Roman"/>
                <w:sz w:val="24"/>
                <w:szCs w:val="24"/>
                <w:lang w:val="sq-AL"/>
              </w:rPr>
              <w:t>e</w:t>
            </w:r>
            <w:r w:rsidR="007B6357" w:rsidRPr="005157CB">
              <w:rPr>
                <w:rFonts w:ascii="Times New Roman" w:hAnsi="Times New Roman"/>
                <w:sz w:val="24"/>
                <w:szCs w:val="24"/>
                <w:lang w:val="sq-AL"/>
              </w:rPr>
              <w:t xml:space="preserve"> </w:t>
            </w:r>
            <w:r w:rsidR="00E07BCC" w:rsidRPr="005157CB">
              <w:rPr>
                <w:rFonts w:ascii="Times New Roman" w:hAnsi="Times New Roman"/>
                <w:sz w:val="24"/>
                <w:szCs w:val="24"/>
                <w:lang w:val="sq-AL"/>
              </w:rPr>
              <w:t>cilësore dhe profesionale ka rëndësi thelbësore dhe përmbushja e këtij qëllimi ka qenë në mbikëqyrjen e vazhdueshme të Ministri</w:t>
            </w:r>
            <w:r w:rsidR="00BE20A2" w:rsidRPr="005157CB">
              <w:rPr>
                <w:rFonts w:ascii="Times New Roman" w:hAnsi="Times New Roman"/>
                <w:sz w:val="24"/>
                <w:szCs w:val="24"/>
                <w:lang w:val="sq-AL"/>
              </w:rPr>
              <w:t>t të</w:t>
            </w:r>
            <w:r w:rsidR="00E07BCC" w:rsidRPr="005157CB">
              <w:rPr>
                <w:rFonts w:ascii="Times New Roman" w:hAnsi="Times New Roman"/>
                <w:sz w:val="24"/>
                <w:szCs w:val="24"/>
                <w:lang w:val="sq-AL"/>
              </w:rPr>
              <w:t xml:space="preserve"> Drejtësisë</w:t>
            </w:r>
            <w:r w:rsidR="0057145E" w:rsidRPr="005157CB">
              <w:rPr>
                <w:rFonts w:ascii="Times New Roman" w:hAnsi="Times New Roman"/>
                <w:sz w:val="24"/>
                <w:szCs w:val="24"/>
                <w:lang w:val="sq-AL"/>
              </w:rPr>
              <w:t>, për shkak të kompetencave që</w:t>
            </w:r>
            <w:r w:rsidR="00BE20A2" w:rsidRPr="005157CB">
              <w:rPr>
                <w:rFonts w:ascii="Times New Roman" w:hAnsi="Times New Roman"/>
                <w:sz w:val="24"/>
                <w:szCs w:val="24"/>
                <w:lang w:val="sq-AL"/>
              </w:rPr>
              <w:t xml:space="preserve"> Ministria e Drejtësisë</w:t>
            </w:r>
            <w:r w:rsidR="0057145E" w:rsidRPr="005157CB">
              <w:rPr>
                <w:rFonts w:ascii="Times New Roman" w:hAnsi="Times New Roman"/>
                <w:sz w:val="24"/>
                <w:szCs w:val="24"/>
                <w:lang w:val="sq-AL"/>
              </w:rPr>
              <w:t xml:space="preserve"> gëzon nga ligji. Sipas ligjit nr. 8678, datë 14.5.2001, “Për organizimin dhe funksionimin e Ministrisë së Drejtësisë”, i ndryshuar, </w:t>
            </w:r>
            <w:r w:rsidR="0057145E" w:rsidRPr="005157CB">
              <w:rPr>
                <w:rFonts w:ascii="Times New Roman" w:hAnsi="Times New Roman"/>
                <w:sz w:val="24"/>
                <w:szCs w:val="24"/>
              </w:rPr>
              <w:t>Dre</w:t>
            </w:r>
            <w:r w:rsidR="0057145E" w:rsidRPr="005157CB">
              <w:rPr>
                <w:rFonts w:ascii="Times New Roman" w:hAnsi="Times New Roman"/>
                <w:sz w:val="24"/>
                <w:szCs w:val="24"/>
                <w:lang w:val="sq-AL"/>
              </w:rPr>
              <w:t>jtoria e Përgjithshme e Shërbimit Përmbarimor është institucion në varësi të Ministrisë së Drejtësisë që, sipas ligjit, ndjek dhe realizon organizimin dhe funksionimin e sistemit të ekzekutimit të vendimeve civile dhe të titujve ekzekutivë</w:t>
            </w:r>
            <w:r w:rsidR="00BE20A2" w:rsidRPr="005157CB">
              <w:rPr>
                <w:rFonts w:ascii="Times New Roman" w:hAnsi="Times New Roman"/>
                <w:sz w:val="24"/>
                <w:szCs w:val="24"/>
                <w:lang w:val="sq-AL"/>
              </w:rPr>
              <w:t xml:space="preserve"> (</w:t>
            </w:r>
            <w:r w:rsidR="00BE20A2" w:rsidRPr="005157CB">
              <w:rPr>
                <w:rFonts w:ascii="Times New Roman" w:hAnsi="Times New Roman"/>
                <w:i/>
                <w:sz w:val="24"/>
                <w:szCs w:val="24"/>
                <w:lang w:val="sq-AL"/>
              </w:rPr>
              <w:t>shih nenin 17 të ligjit</w:t>
            </w:r>
            <w:r w:rsidR="00BE20A2" w:rsidRPr="005157CB">
              <w:rPr>
                <w:rFonts w:ascii="Times New Roman" w:hAnsi="Times New Roman"/>
                <w:sz w:val="24"/>
                <w:szCs w:val="24"/>
                <w:lang w:val="sq-AL"/>
              </w:rPr>
              <w:t xml:space="preserve">). </w:t>
            </w:r>
          </w:p>
          <w:p w14:paraId="5C029BC5" w14:textId="0EF2B9CE" w:rsidR="0057145E" w:rsidRPr="005157CB" w:rsidRDefault="0038498D"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9544FD" w:rsidRPr="005157CB">
              <w:rPr>
                <w:rFonts w:ascii="Times New Roman" w:hAnsi="Times New Roman"/>
                <w:sz w:val="24"/>
                <w:szCs w:val="24"/>
                <w:lang w:val="sq-AL"/>
              </w:rPr>
              <w:t xml:space="preserve">  </w:t>
            </w:r>
            <w:r w:rsidRPr="005157CB">
              <w:rPr>
                <w:rFonts w:ascii="Times New Roman" w:hAnsi="Times New Roman"/>
                <w:sz w:val="24"/>
                <w:szCs w:val="24"/>
                <w:lang w:val="sq-AL"/>
              </w:rPr>
              <w:t xml:space="preserve">Duke marrë shkas nga ndryshimet e rëndësishme që kanë pësuar rrethanat politike, ekonomike, sociale dhe juridike në vend në raport me periudhën në të cilën është miratuar ligji </w:t>
            </w:r>
            <w:r w:rsidR="00C20220" w:rsidRPr="005157CB">
              <w:rPr>
                <w:rFonts w:ascii="Times New Roman" w:hAnsi="Times New Roman"/>
                <w:sz w:val="24"/>
                <w:szCs w:val="24"/>
                <w:lang w:val="sq-AL"/>
              </w:rPr>
              <w:t>nr. 8730, datë 18.1.2001, “Pë</w:t>
            </w:r>
            <w:r w:rsidR="00FC65F0" w:rsidRPr="005157CB">
              <w:rPr>
                <w:rFonts w:ascii="Times New Roman" w:hAnsi="Times New Roman"/>
                <w:sz w:val="24"/>
                <w:szCs w:val="24"/>
                <w:lang w:val="sq-AL"/>
              </w:rPr>
              <w:t xml:space="preserve">r organizimin dhe funksionimin </w:t>
            </w:r>
            <w:r w:rsidR="00C20220" w:rsidRPr="005157CB">
              <w:rPr>
                <w:rFonts w:ascii="Times New Roman" w:hAnsi="Times New Roman"/>
                <w:sz w:val="24"/>
                <w:szCs w:val="24"/>
                <w:lang w:val="sq-AL"/>
              </w:rPr>
              <w:t xml:space="preserve">e shërbimit të përmbarimit gjyqësor”, i ndryshuar (në vijim </w:t>
            </w:r>
            <w:r w:rsidR="00C20220" w:rsidRPr="005157CB">
              <w:rPr>
                <w:rFonts w:ascii="Times New Roman" w:hAnsi="Times New Roman"/>
                <w:i/>
                <w:sz w:val="24"/>
                <w:szCs w:val="24"/>
                <w:lang w:val="sq-AL"/>
              </w:rPr>
              <w:t xml:space="preserve">ligji nr. </w:t>
            </w:r>
            <w:r w:rsidR="00600B77" w:rsidRPr="005157CB">
              <w:rPr>
                <w:rFonts w:ascii="Times New Roman" w:hAnsi="Times New Roman"/>
                <w:i/>
                <w:sz w:val="24"/>
                <w:szCs w:val="24"/>
                <w:lang w:val="sq-AL"/>
              </w:rPr>
              <w:t>8730/2001</w:t>
            </w:r>
            <w:r w:rsidR="00600B77" w:rsidRPr="005157CB">
              <w:rPr>
                <w:rFonts w:ascii="Times New Roman" w:hAnsi="Times New Roman"/>
                <w:sz w:val="24"/>
                <w:szCs w:val="24"/>
                <w:lang w:val="sq-AL"/>
              </w:rPr>
              <w:t xml:space="preserve">) si dhe duke mbajtur në konsideratë nevojën për reformimin e shërbimit përmbarimor gjyqësor </w:t>
            </w:r>
            <w:r w:rsidR="00EC1909" w:rsidRPr="005157CB">
              <w:rPr>
                <w:rFonts w:ascii="Times New Roman" w:hAnsi="Times New Roman"/>
                <w:sz w:val="24"/>
                <w:szCs w:val="24"/>
                <w:lang w:val="sq-AL"/>
              </w:rPr>
              <w:t xml:space="preserve">shtetëror me qëllim përshtatjen me kërkesat e përmbarimit gjyqësor të organizuar mbi baza private, i cili pësoi reformim me </w:t>
            </w:r>
            <w:r w:rsidR="00EC1909" w:rsidRPr="005157CB">
              <w:rPr>
                <w:rFonts w:ascii="Times New Roman" w:hAnsi="Times New Roman"/>
                <w:sz w:val="24"/>
                <w:szCs w:val="24"/>
                <w:lang w:val="sq-AL"/>
              </w:rPr>
              <w:lastRenderedPageBreak/>
              <w:t xml:space="preserve">ligjin nr. 26/2019, “Për shërbimin përmbarimor gjyqësor privat”, Ministria e Drejtësisë ka vlerësuar gjerësisht mundësitë për ndërhyrje ligjore duke konkluduar në miratimin e një ligji të ri për shërbimin përmbarimor gjyqësor shtetëror. </w:t>
            </w:r>
          </w:p>
          <w:p w14:paraId="2B2289A9" w14:textId="2F525FF2" w:rsidR="000203D7" w:rsidRPr="005157CB" w:rsidRDefault="00B05AFA"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C641FC" w:rsidRPr="005157CB">
              <w:rPr>
                <w:rFonts w:ascii="Times New Roman" w:hAnsi="Times New Roman"/>
                <w:sz w:val="24"/>
                <w:szCs w:val="24"/>
                <w:lang w:val="sq-AL"/>
              </w:rPr>
              <w:t>Hartimi dhe propozimi i një nisme të re ligjore për shërbimin përmbarimor gjy</w:t>
            </w:r>
            <w:r w:rsidR="000B6C3E">
              <w:rPr>
                <w:rFonts w:ascii="Times New Roman" w:hAnsi="Times New Roman"/>
                <w:sz w:val="24"/>
                <w:szCs w:val="24"/>
                <w:lang w:val="sq-AL"/>
              </w:rPr>
              <w:t xml:space="preserve">qësor vjen pas studimit të </w:t>
            </w:r>
            <w:r w:rsidR="00C641FC" w:rsidRPr="005157CB">
              <w:rPr>
                <w:rFonts w:ascii="Times New Roman" w:hAnsi="Times New Roman"/>
                <w:sz w:val="24"/>
                <w:szCs w:val="24"/>
                <w:lang w:val="sq-AL"/>
              </w:rPr>
              <w:t>opsioneve të përshtatshme, nga vlerësimi i të cilave rezultoi se ndërhyrja me një ligj të ri në këtë drejtim përmbush maksimalisht objektivin e Ministrisë së Drejtësisë dhe Këshillit të Ministrave për reformimin e shërbimit përmbarimor gjyqësor shtetëror</w:t>
            </w:r>
            <w:r w:rsidR="008830F5" w:rsidRPr="005157CB">
              <w:rPr>
                <w:rFonts w:ascii="Times New Roman" w:hAnsi="Times New Roman"/>
                <w:sz w:val="24"/>
                <w:szCs w:val="24"/>
                <w:lang w:val="sq-AL"/>
              </w:rPr>
              <w:t xml:space="preserve"> me ndikim thelbësor në ushtrimin e veprimtarisë përmbarimore për ekzekutimin e</w:t>
            </w:r>
            <w:r w:rsidR="000B6C3E" w:rsidRPr="000B6C3E">
              <w:rPr>
                <w:rFonts w:ascii="Times New Roman" w:eastAsia="Times New Roman" w:hAnsi="Times New Roman"/>
                <w:sz w:val="24"/>
                <w:szCs w:val="24"/>
                <w:lang w:val="sq-AL" w:eastAsia="en-GB"/>
              </w:rPr>
              <w:t xml:space="preserve"> </w:t>
            </w:r>
            <w:r w:rsidR="000B6C3E" w:rsidRPr="000B6C3E">
              <w:rPr>
                <w:rFonts w:ascii="Times New Roman" w:hAnsi="Times New Roman"/>
                <w:sz w:val="24"/>
                <w:szCs w:val="24"/>
                <w:lang w:val="sq-AL"/>
              </w:rPr>
              <w:t xml:space="preserve">detyrueshëm </w:t>
            </w:r>
            <w:r w:rsidR="008830F5" w:rsidRPr="005157CB">
              <w:rPr>
                <w:rFonts w:ascii="Times New Roman" w:hAnsi="Times New Roman"/>
                <w:sz w:val="24"/>
                <w:szCs w:val="24"/>
                <w:lang w:val="sq-AL"/>
              </w:rPr>
              <w:t xml:space="preserve"> </w:t>
            </w:r>
            <w:r w:rsidR="000B6C3E" w:rsidRPr="000B6C3E">
              <w:rPr>
                <w:rFonts w:ascii="Times New Roman" w:hAnsi="Times New Roman"/>
                <w:sz w:val="24"/>
                <w:szCs w:val="24"/>
                <w:lang w:val="sq-AL"/>
              </w:rPr>
              <w:t xml:space="preserve"> të</w:t>
            </w:r>
            <w:r w:rsidR="000B6C3E" w:rsidRPr="005157CB">
              <w:rPr>
                <w:rFonts w:ascii="Times New Roman" w:hAnsi="Times New Roman"/>
                <w:sz w:val="24"/>
                <w:szCs w:val="24"/>
                <w:lang w:val="sq-AL"/>
              </w:rPr>
              <w:t xml:space="preserve"> </w:t>
            </w:r>
            <w:r w:rsidR="008830F5" w:rsidRPr="005157CB">
              <w:rPr>
                <w:rFonts w:ascii="Times New Roman" w:hAnsi="Times New Roman"/>
                <w:sz w:val="24"/>
                <w:szCs w:val="24"/>
                <w:lang w:val="sq-AL"/>
              </w:rPr>
              <w:t xml:space="preserve">titjve ekzekutivë dhe realizimin e së drejtave të qytetarëve të Republikës së Shqipërisë të fituar gjyqësisht. </w:t>
            </w:r>
            <w:r w:rsidR="00C641FC" w:rsidRPr="005157CB">
              <w:rPr>
                <w:rFonts w:ascii="Times New Roman" w:hAnsi="Times New Roman"/>
                <w:sz w:val="24"/>
                <w:szCs w:val="24"/>
                <w:lang w:val="sq-AL"/>
              </w:rPr>
              <w:t xml:space="preserve"> </w:t>
            </w:r>
          </w:p>
          <w:p w14:paraId="45A14762" w14:textId="6AD51252" w:rsidR="00E052DE" w:rsidRPr="005157CB" w:rsidRDefault="009544FD"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CE19F9" w:rsidRPr="005157CB">
              <w:rPr>
                <w:rFonts w:ascii="Times New Roman" w:hAnsi="Times New Roman"/>
                <w:sz w:val="24"/>
                <w:szCs w:val="24"/>
                <w:lang w:val="sq-AL"/>
              </w:rPr>
              <w:t xml:space="preserve">Në këtë kuadër, kjo nismë u parashikua në Programin e Përgjithshëm Analitik të Projektakteve për vitin 2022, miratuar me vendimin nr. 850, datë 29.12.2021, të Këshillit të Ministrave, duke u materializuar në një detyrim që duhet të përmbushet nga Ministria e Drejtësisë brenda katërmujorit të dytë të vitit 2022. </w:t>
            </w:r>
          </w:p>
          <w:p w14:paraId="036F1CB5" w14:textId="77777777" w:rsidR="00710FF1" w:rsidRPr="005157CB" w:rsidRDefault="00B533D0"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9544FD" w:rsidRPr="005157CB">
              <w:rPr>
                <w:rFonts w:ascii="Times New Roman" w:hAnsi="Times New Roman"/>
                <w:sz w:val="24"/>
                <w:szCs w:val="24"/>
                <w:lang w:val="sq-AL"/>
              </w:rPr>
              <w:t>Hartimi dhe miratimi i një</w:t>
            </w:r>
            <w:r w:rsidR="00116CE4" w:rsidRPr="005157CB">
              <w:rPr>
                <w:rFonts w:ascii="Times New Roman" w:hAnsi="Times New Roman"/>
                <w:sz w:val="24"/>
                <w:szCs w:val="24"/>
                <w:lang w:val="sq-AL"/>
              </w:rPr>
              <w:t xml:space="preserve"> kornize të re ligjore i shërben: </w:t>
            </w:r>
            <w:r w:rsidR="00116CE4" w:rsidRPr="000B6C3E">
              <w:rPr>
                <w:rFonts w:ascii="Times New Roman" w:hAnsi="Times New Roman"/>
                <w:b/>
                <w:i/>
                <w:sz w:val="24"/>
                <w:szCs w:val="24"/>
                <w:lang w:val="sq-AL"/>
              </w:rPr>
              <w:t>(i)</w:t>
            </w:r>
            <w:r w:rsidR="009544FD" w:rsidRPr="005157CB">
              <w:rPr>
                <w:rFonts w:ascii="Times New Roman" w:hAnsi="Times New Roman"/>
                <w:i/>
                <w:sz w:val="24"/>
                <w:szCs w:val="24"/>
                <w:lang w:val="sq-AL"/>
              </w:rPr>
              <w:t xml:space="preserve"> </w:t>
            </w:r>
            <w:r w:rsidR="009544FD" w:rsidRPr="005157CB">
              <w:rPr>
                <w:rFonts w:ascii="Times New Roman" w:hAnsi="Times New Roman"/>
                <w:sz w:val="24"/>
                <w:szCs w:val="24"/>
                <w:lang w:val="sq-AL"/>
              </w:rPr>
              <w:t>përmbaruesve gjyqësorë shtetërorë që ushtrojnë aktualisht detyrat e tyre</w:t>
            </w:r>
            <w:r w:rsidR="00CC5C69" w:rsidRPr="005157CB">
              <w:rPr>
                <w:rFonts w:ascii="Times New Roman" w:hAnsi="Times New Roman"/>
                <w:sz w:val="24"/>
                <w:szCs w:val="24"/>
                <w:lang w:val="sq-AL"/>
              </w:rPr>
              <w:t xml:space="preserve"> në drejtim të të drejtave dhe garancive që synohen të ofrohen për ta, për shkak të natyrës dhe llojit të veprimtarive që ushtrojnë</w:t>
            </w:r>
            <w:r w:rsidR="00116CE4" w:rsidRPr="005157CB">
              <w:rPr>
                <w:rFonts w:ascii="Times New Roman" w:hAnsi="Times New Roman"/>
                <w:sz w:val="24"/>
                <w:szCs w:val="24"/>
                <w:lang w:val="sq-AL"/>
              </w:rPr>
              <w:t xml:space="preserve">; </w:t>
            </w:r>
            <w:r w:rsidR="00116CE4" w:rsidRPr="000B6C3E">
              <w:rPr>
                <w:rFonts w:ascii="Times New Roman" w:hAnsi="Times New Roman"/>
                <w:b/>
                <w:i/>
                <w:sz w:val="24"/>
                <w:szCs w:val="24"/>
                <w:lang w:val="sq-AL"/>
              </w:rPr>
              <w:t>(ii)</w:t>
            </w:r>
            <w:r w:rsidR="00116CE4" w:rsidRPr="005157CB">
              <w:rPr>
                <w:rFonts w:ascii="Times New Roman" w:hAnsi="Times New Roman"/>
                <w:sz w:val="24"/>
                <w:szCs w:val="24"/>
                <w:lang w:val="sq-AL"/>
              </w:rPr>
              <w:t xml:space="preserve"> shtetasve që synojnë të përfshihen dhe të jenë pjesë e Shërbimit Përmbarimor Gjyqësor Shtetëror, pasi synohet sigurimi i tyre me njohuritë dhe aftësitë e nevojshme profesionale përpara rekrutimit të tyre, duke vendosur kritere dhe kushte të caktuara për emërimin e tyre si përmbarues gjyqësorë shtetërorë; </w:t>
            </w:r>
            <w:r w:rsidR="00116CE4" w:rsidRPr="000B6C3E">
              <w:rPr>
                <w:rFonts w:ascii="Times New Roman" w:hAnsi="Times New Roman"/>
                <w:b/>
                <w:i/>
                <w:sz w:val="24"/>
                <w:szCs w:val="24"/>
                <w:lang w:val="sq-AL"/>
              </w:rPr>
              <w:t>(iii)</w:t>
            </w:r>
            <w:r w:rsidR="00116CE4" w:rsidRPr="005157CB">
              <w:rPr>
                <w:rFonts w:ascii="Times New Roman" w:hAnsi="Times New Roman"/>
                <w:sz w:val="24"/>
                <w:szCs w:val="24"/>
                <w:lang w:val="sq-AL"/>
              </w:rPr>
              <w:t xml:space="preserve"> qytetarëve të Republikës së Shqipërisë, në drejtim të ekzekutimit efektiv dhe brenda afateve ligjore e të arsyeshme të vendimeve gjyqësore që janë tituj ekzekutivë në kuptim të nenit 510 të Kodit të Procedurës Civile nga përmbaruesit gjyqësorë shtetërorë, duke konkurruar denjësisht shërbimin përmbarimor gjyqë</w:t>
            </w:r>
            <w:r w:rsidR="00710FF1" w:rsidRPr="005157CB">
              <w:rPr>
                <w:rFonts w:ascii="Times New Roman" w:hAnsi="Times New Roman"/>
                <w:sz w:val="24"/>
                <w:szCs w:val="24"/>
                <w:lang w:val="sq-AL"/>
              </w:rPr>
              <w:t>sor privat.</w:t>
            </w:r>
          </w:p>
          <w:p w14:paraId="1B6DCB94" w14:textId="494A4FD9" w:rsidR="00B533D0" w:rsidRPr="005157CB" w:rsidRDefault="00710FF1" w:rsidP="000B6C3E">
            <w:pPr>
              <w:pStyle w:val="ListParagraph"/>
              <w:numPr>
                <w:ilvl w:val="0"/>
                <w:numId w:val="34"/>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Jo vetëm sa më sipër, por një kuadër ligjor i ri vlerësojmë se i shërben forcimit të kushteve dhe </w:t>
            </w:r>
            <w:r w:rsidR="00B533D0" w:rsidRPr="005157CB">
              <w:rPr>
                <w:rFonts w:ascii="Times New Roman" w:hAnsi="Times New Roman"/>
                <w:sz w:val="24"/>
                <w:szCs w:val="24"/>
                <w:lang w:val="sq-AL"/>
              </w:rPr>
              <w:t>k</w:t>
            </w:r>
            <w:r w:rsidRPr="005157CB">
              <w:rPr>
                <w:rFonts w:ascii="Times New Roman" w:hAnsi="Times New Roman"/>
                <w:sz w:val="24"/>
                <w:szCs w:val="24"/>
                <w:lang w:val="sq-AL"/>
              </w:rPr>
              <w:t>ritereve</w:t>
            </w:r>
            <w:r w:rsidR="00B533D0" w:rsidRPr="005157CB">
              <w:rPr>
                <w:rFonts w:ascii="Times New Roman" w:hAnsi="Times New Roman"/>
                <w:sz w:val="24"/>
                <w:szCs w:val="24"/>
                <w:lang w:val="sq-AL"/>
              </w:rPr>
              <w:t xml:space="preserve"> profesionale për subjektet që e ofrojnë këtë s</w:t>
            </w:r>
            <w:r w:rsidRPr="005157CB">
              <w:rPr>
                <w:rFonts w:ascii="Times New Roman" w:hAnsi="Times New Roman"/>
                <w:sz w:val="24"/>
                <w:szCs w:val="24"/>
                <w:lang w:val="sq-AL"/>
              </w:rPr>
              <w:t>hërbim publik, si dhe mekanizmave</w:t>
            </w:r>
            <w:r w:rsidR="00B533D0" w:rsidRPr="005157CB">
              <w:rPr>
                <w:rFonts w:ascii="Times New Roman" w:hAnsi="Times New Roman"/>
                <w:sz w:val="24"/>
                <w:szCs w:val="24"/>
                <w:lang w:val="sq-AL"/>
              </w:rPr>
              <w:t xml:space="preserve"> kontrollues me qëllim shmangien e abuzimeve dhe veprimeve në ku</w:t>
            </w:r>
            <w:r w:rsidRPr="005157CB">
              <w:rPr>
                <w:rFonts w:ascii="Times New Roman" w:hAnsi="Times New Roman"/>
                <w:sz w:val="24"/>
                <w:szCs w:val="24"/>
                <w:lang w:val="sq-AL"/>
              </w:rPr>
              <w:t xml:space="preserve">ndërshtim me dispozitat ligjore në fuqi. </w:t>
            </w:r>
          </w:p>
        </w:tc>
      </w:tr>
      <w:tr w:rsidR="00E052DE" w:rsidRPr="000D5974" w14:paraId="677778F6" w14:textId="77777777" w:rsidTr="00D7719D">
        <w:trPr>
          <w:trHeight w:val="552"/>
        </w:trPr>
        <w:tc>
          <w:tcPr>
            <w:tcW w:w="9715" w:type="dxa"/>
            <w:gridSpan w:val="2"/>
          </w:tcPr>
          <w:p w14:paraId="319CF7CD"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lastRenderedPageBreak/>
              <w:t>PËRKUFIZIMI I PROBLEMIT</w:t>
            </w:r>
          </w:p>
          <w:p w14:paraId="6D5B8230" w14:textId="19DB718B" w:rsidR="00BB3BD1"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 xml:space="preserve">Cili është problemi në shqyrtim dhe cilat janë shkaqet e tij? Jepni arsyet e nevojës së ndërhyrjes së qeverisë. (jo më shumë se 10 rreshta) </w:t>
            </w:r>
            <w:r w:rsidRPr="005157CB">
              <w:rPr>
                <w:i/>
                <w:szCs w:val="24"/>
                <w:lang w:val="sq-AL"/>
              </w:rPr>
              <w:fldChar w:fldCharType="end"/>
            </w:r>
            <w:bookmarkEnd w:id="2"/>
          </w:p>
          <w:p w14:paraId="129FA383" w14:textId="77777777" w:rsidR="00BB3BD1" w:rsidRPr="005157CB" w:rsidRDefault="00BB3BD1" w:rsidP="00E052DE">
            <w:pPr>
              <w:spacing w:line="276" w:lineRule="auto"/>
              <w:jc w:val="both"/>
              <w:rPr>
                <w:rFonts w:ascii="Times New Roman" w:hAnsi="Times New Roman"/>
                <w:i/>
                <w:sz w:val="24"/>
                <w:szCs w:val="24"/>
                <w:lang w:val="sq-AL"/>
              </w:rPr>
            </w:pPr>
          </w:p>
          <w:p w14:paraId="114E5D0D" w14:textId="72EE7DDD" w:rsidR="002578B9" w:rsidRPr="005157CB" w:rsidRDefault="002578B9" w:rsidP="000B6C3E">
            <w:pPr>
              <w:pStyle w:val="ListParagraph"/>
              <w:numPr>
                <w:ilvl w:val="0"/>
                <w:numId w:val="35"/>
              </w:numPr>
              <w:spacing w:line="276" w:lineRule="auto"/>
              <w:jc w:val="both"/>
              <w:rPr>
                <w:rFonts w:ascii="Times New Roman" w:hAnsi="Times New Roman"/>
                <w:sz w:val="24"/>
                <w:szCs w:val="24"/>
                <w:lang w:val="sq-AL" w:bidi="en-US"/>
              </w:rPr>
            </w:pPr>
            <w:r w:rsidRPr="005157CB">
              <w:rPr>
                <w:rFonts w:ascii="Times New Roman" w:hAnsi="Times New Roman"/>
                <w:sz w:val="24"/>
                <w:szCs w:val="24"/>
                <w:lang w:val="sq-AL" w:bidi="en-US"/>
              </w:rPr>
              <w:t xml:space="preserve">   </w:t>
            </w:r>
            <w:r w:rsidR="001D51BC" w:rsidRPr="005157CB">
              <w:rPr>
                <w:rFonts w:ascii="Times New Roman" w:hAnsi="Times New Roman"/>
                <w:sz w:val="24"/>
                <w:szCs w:val="24"/>
                <w:lang w:val="sq-AL" w:bidi="en-US"/>
              </w:rPr>
              <w:t>Problematikat që lidhen me shërbimin përmbarimor shtetëro</w:t>
            </w:r>
            <w:r w:rsidR="00DF6816">
              <w:rPr>
                <w:rFonts w:ascii="Times New Roman" w:hAnsi="Times New Roman"/>
                <w:sz w:val="24"/>
                <w:szCs w:val="24"/>
                <w:lang w:val="sq-AL" w:bidi="en-US"/>
              </w:rPr>
              <w:t>r, në kuadër edhe të funksionit</w:t>
            </w:r>
            <w:r w:rsidR="001D51BC" w:rsidRPr="005157CB">
              <w:rPr>
                <w:rFonts w:ascii="Times New Roman" w:hAnsi="Times New Roman"/>
                <w:sz w:val="24"/>
                <w:szCs w:val="24"/>
                <w:lang w:val="sq-AL" w:bidi="en-US"/>
              </w:rPr>
              <w:t xml:space="preserve"> që ushtrojnë lidhur me ekzekutimin e </w:t>
            </w:r>
            <w:r w:rsidR="00DF6816">
              <w:rPr>
                <w:rFonts w:ascii="Times New Roman" w:hAnsi="Times New Roman"/>
                <w:sz w:val="24"/>
                <w:szCs w:val="24"/>
                <w:lang w:val="sq-AL" w:bidi="en-US"/>
              </w:rPr>
              <w:t xml:space="preserve">detyrueshëm të </w:t>
            </w:r>
            <w:r w:rsidR="001D51BC" w:rsidRPr="005157CB">
              <w:rPr>
                <w:rFonts w:ascii="Times New Roman" w:hAnsi="Times New Roman"/>
                <w:sz w:val="24"/>
                <w:szCs w:val="24"/>
                <w:lang w:val="sq-AL" w:bidi="en-US"/>
              </w:rPr>
              <w:t>titujve ekzekutivë</w:t>
            </w:r>
            <w:r w:rsidR="00AF5DF6" w:rsidRPr="005157CB">
              <w:rPr>
                <w:rFonts w:ascii="Times New Roman" w:hAnsi="Times New Roman"/>
                <w:sz w:val="24"/>
                <w:szCs w:val="24"/>
                <w:lang w:val="sq-AL" w:bidi="en-US"/>
              </w:rPr>
              <w:t>, janë evidentuar kryesisht në An</w:t>
            </w:r>
            <w:r w:rsidR="008577BA">
              <w:rPr>
                <w:rFonts w:ascii="Times New Roman" w:hAnsi="Times New Roman"/>
                <w:sz w:val="24"/>
                <w:szCs w:val="24"/>
                <w:lang w:val="sq-AL" w:bidi="en-US"/>
              </w:rPr>
              <w:t>alizën e Sistemit të Drejtësisë, të miratuar nga Komisioni i Posaçëm p</w:t>
            </w:r>
            <w:r w:rsidR="00AF5DF6" w:rsidRPr="005157CB">
              <w:rPr>
                <w:rFonts w:ascii="Times New Roman" w:hAnsi="Times New Roman"/>
                <w:sz w:val="24"/>
                <w:szCs w:val="24"/>
                <w:lang w:val="sq-AL" w:bidi="en-US"/>
              </w:rPr>
              <w:t xml:space="preserve">ër Reformën në Sistemin e Drejtësisë me vendimin nr. 14, datë 30.07.2015. </w:t>
            </w:r>
          </w:p>
          <w:p w14:paraId="30AFBDC9" w14:textId="77777777" w:rsidR="007362B0" w:rsidRPr="005157CB" w:rsidRDefault="002578B9" w:rsidP="000B6C3E">
            <w:pPr>
              <w:pStyle w:val="ListParagraph"/>
              <w:numPr>
                <w:ilvl w:val="0"/>
                <w:numId w:val="35"/>
              </w:numPr>
              <w:spacing w:line="276" w:lineRule="auto"/>
              <w:jc w:val="both"/>
              <w:rPr>
                <w:rFonts w:ascii="Times New Roman" w:hAnsi="Times New Roman"/>
                <w:sz w:val="24"/>
                <w:szCs w:val="24"/>
                <w:lang w:val="sq-AL" w:bidi="en-US"/>
              </w:rPr>
            </w:pPr>
            <w:r w:rsidRPr="005157CB">
              <w:rPr>
                <w:rFonts w:ascii="Times New Roman" w:hAnsi="Times New Roman"/>
                <w:sz w:val="24"/>
                <w:szCs w:val="24"/>
                <w:lang w:val="sq-AL" w:bidi="en-US"/>
              </w:rPr>
              <w:t xml:space="preserve">   </w:t>
            </w:r>
            <w:r w:rsidR="00AF5DF6" w:rsidRPr="005157CB">
              <w:rPr>
                <w:rFonts w:ascii="Times New Roman" w:hAnsi="Times New Roman"/>
                <w:sz w:val="24"/>
                <w:szCs w:val="24"/>
                <w:lang w:val="sq-AL" w:bidi="en-US"/>
              </w:rPr>
              <w:t xml:space="preserve">Analiza në fjalë thekson se </w:t>
            </w:r>
            <w:r w:rsidR="00AF5DF6" w:rsidRPr="005157CB">
              <w:rPr>
                <w:rFonts w:ascii="Times New Roman" w:hAnsi="Times New Roman"/>
                <w:sz w:val="24"/>
                <w:szCs w:val="24"/>
              </w:rPr>
              <w:t xml:space="preserve"> </w:t>
            </w:r>
            <w:r w:rsidR="00AF5DF6" w:rsidRPr="005157CB">
              <w:rPr>
                <w:rFonts w:ascii="Times New Roman" w:hAnsi="Times New Roman"/>
                <w:sz w:val="24"/>
                <w:szCs w:val="24"/>
                <w:lang w:val="sq-AL" w:bidi="en-US"/>
              </w:rPr>
              <w:t>ka mangësi në shërbimin përmbarimor gjyqësor shtetëror, zgjatje të pajustifikuara në ekzekutimin e titujve ekzekutivë, mungesë transparence dhe përkushtimi në ushtrimin e detyrave, si dh</w:t>
            </w:r>
            <w:r w:rsidRPr="005157CB">
              <w:rPr>
                <w:rFonts w:ascii="Times New Roman" w:hAnsi="Times New Roman"/>
                <w:sz w:val="24"/>
                <w:szCs w:val="24"/>
                <w:lang w:val="sq-AL" w:bidi="en-US"/>
              </w:rPr>
              <w:t>e vonesa të mëdha në ekzekutim.</w:t>
            </w:r>
            <w:r w:rsidR="00AF5DF6" w:rsidRPr="005157CB">
              <w:rPr>
                <w:rFonts w:ascii="Times New Roman" w:hAnsi="Times New Roman"/>
                <w:sz w:val="24"/>
                <w:szCs w:val="24"/>
                <w:lang w:val="sq-AL" w:bidi="en-US"/>
              </w:rPr>
              <w:t xml:space="preserve">Veprimtaria e përmbaruesve gjyqësorë nuk karakterizohet nga profesionalizmi dhe paanshmëria në procesin e ekzekutimit të titujve ekzekutivë. </w:t>
            </w:r>
            <w:r w:rsidRPr="005157CB">
              <w:rPr>
                <w:rFonts w:ascii="Times New Roman" w:hAnsi="Times New Roman"/>
                <w:sz w:val="24"/>
                <w:szCs w:val="24"/>
                <w:lang w:val="sq-AL" w:bidi="en-US"/>
              </w:rPr>
              <w:t xml:space="preserve">Në vijim të kësaj Analize, shërbimi përmbarimor gjyqësor privat mori vëmendje të veçantë nga legjislatori, proces në të cilën u theksua se do të merrej edhe nisma ligjore </w:t>
            </w:r>
            <w:r w:rsidRPr="005157CB">
              <w:rPr>
                <w:rFonts w:ascii="Times New Roman" w:hAnsi="Times New Roman"/>
                <w:sz w:val="24"/>
                <w:szCs w:val="24"/>
              </w:rPr>
              <w:t xml:space="preserve"> </w:t>
            </w:r>
            <w:r w:rsidRPr="005157CB">
              <w:rPr>
                <w:rFonts w:ascii="Times New Roman" w:hAnsi="Times New Roman"/>
                <w:sz w:val="24"/>
                <w:szCs w:val="24"/>
                <w:lang w:val="sq-AL" w:bidi="en-US"/>
              </w:rPr>
              <w:t xml:space="preserve">që do të garantojë rritjen e cilësisë së ofrimit të </w:t>
            </w:r>
            <w:r w:rsidRPr="005157CB">
              <w:rPr>
                <w:rFonts w:ascii="Times New Roman" w:hAnsi="Times New Roman"/>
                <w:sz w:val="24"/>
                <w:szCs w:val="24"/>
                <w:lang w:val="sq-AL" w:bidi="en-US"/>
              </w:rPr>
              <w:lastRenderedPageBreak/>
              <w:t>shërbimeve edhe nga shërbimi përmbarimor gjyqësor shtetëror (</w:t>
            </w:r>
            <w:r w:rsidRPr="005157CB">
              <w:rPr>
                <w:rFonts w:ascii="Times New Roman" w:hAnsi="Times New Roman"/>
                <w:i/>
                <w:sz w:val="24"/>
                <w:szCs w:val="24"/>
                <w:lang w:val="sq-AL" w:bidi="en-US"/>
              </w:rPr>
              <w:t>shih raportin e Komisionit përgjegjës për çështjet ligjore të datës 26.06.2019</w:t>
            </w:r>
            <w:r w:rsidRPr="005157CB">
              <w:rPr>
                <w:rFonts w:ascii="Times New Roman" w:hAnsi="Times New Roman"/>
                <w:sz w:val="24"/>
                <w:szCs w:val="24"/>
                <w:lang w:val="sq-AL" w:bidi="en-US"/>
              </w:rPr>
              <w:t>).</w:t>
            </w:r>
          </w:p>
          <w:p w14:paraId="312B133D" w14:textId="6820F3AC" w:rsidR="00E052DE" w:rsidRPr="005157CB" w:rsidRDefault="007362B0" w:rsidP="008577BA">
            <w:pPr>
              <w:pStyle w:val="ListParagraph"/>
              <w:numPr>
                <w:ilvl w:val="0"/>
                <w:numId w:val="35"/>
              </w:numPr>
              <w:spacing w:line="276" w:lineRule="auto"/>
              <w:jc w:val="both"/>
              <w:rPr>
                <w:rFonts w:ascii="Times New Roman" w:hAnsi="Times New Roman"/>
                <w:sz w:val="24"/>
                <w:szCs w:val="24"/>
                <w:lang w:val="sq-AL" w:bidi="en-US"/>
              </w:rPr>
            </w:pPr>
            <w:r w:rsidRPr="005157CB">
              <w:rPr>
                <w:rFonts w:ascii="Times New Roman" w:hAnsi="Times New Roman"/>
                <w:sz w:val="24"/>
                <w:szCs w:val="24"/>
                <w:lang w:val="sq-AL" w:bidi="en-US"/>
              </w:rPr>
              <w:t xml:space="preserve">   Në vijim të sa më sipër, </w:t>
            </w:r>
            <w:r w:rsidRPr="005157CB">
              <w:rPr>
                <w:rFonts w:ascii="Times New Roman" w:hAnsi="Times New Roman"/>
                <w:sz w:val="24"/>
                <w:szCs w:val="24"/>
                <w:lang w:val="sq-AL"/>
              </w:rPr>
              <w:t>p</w:t>
            </w:r>
            <w:r w:rsidR="009710DB" w:rsidRPr="005157CB">
              <w:rPr>
                <w:rFonts w:ascii="Times New Roman" w:hAnsi="Times New Roman"/>
                <w:sz w:val="24"/>
                <w:szCs w:val="24"/>
                <w:lang w:val="sq-AL"/>
              </w:rPr>
              <w:t xml:space="preserve">ërmirësimi i kuadrit ligjor që rregullon shërbimin përmbarimor gjyqësor shtetëror ka qenë dhe vijon të mbetet </w:t>
            </w:r>
            <w:r w:rsidR="00E052DE" w:rsidRPr="005157CB">
              <w:rPr>
                <w:rFonts w:ascii="Times New Roman" w:hAnsi="Times New Roman"/>
                <w:sz w:val="24"/>
                <w:szCs w:val="24"/>
                <w:lang w:val="sq-AL"/>
              </w:rPr>
              <w:t>një nga prioritetet e shtetit sh</w:t>
            </w:r>
            <w:r w:rsidR="009710DB" w:rsidRPr="005157CB">
              <w:rPr>
                <w:rFonts w:ascii="Times New Roman" w:hAnsi="Times New Roman"/>
                <w:sz w:val="24"/>
                <w:szCs w:val="24"/>
                <w:lang w:val="sq-AL"/>
              </w:rPr>
              <w:t xml:space="preserve">qiptar dhe qeverisë shqiptare, pasi përbën një shërbim publik që lidhet ngushtësisht me sistemin e drejtësisë. </w:t>
            </w:r>
            <w:r w:rsidR="008577BA">
              <w:rPr>
                <w:rFonts w:ascii="Times New Roman" w:hAnsi="Times New Roman"/>
                <w:sz w:val="24"/>
                <w:szCs w:val="24"/>
                <w:lang w:val="sq-AL"/>
              </w:rPr>
              <w:t xml:space="preserve">Sikurse u shpjegua më sipër, </w:t>
            </w:r>
            <w:r w:rsidR="008577BA" w:rsidRPr="008577BA">
              <w:rPr>
                <w:rFonts w:ascii="Times New Roman" w:hAnsi="Times New Roman"/>
                <w:sz w:val="24"/>
                <w:szCs w:val="24"/>
                <w:lang w:val="sq-AL"/>
              </w:rPr>
              <w:t>ekzekutimi i vendimit të formës së prerë të gjykatës</w:t>
            </w:r>
            <w:r w:rsidR="008577BA">
              <w:rPr>
                <w:rFonts w:ascii="Times New Roman" w:hAnsi="Times New Roman"/>
                <w:sz w:val="24"/>
                <w:szCs w:val="24"/>
                <w:lang w:val="sq-AL"/>
              </w:rPr>
              <w:t xml:space="preserve"> nga shërbimi përmbarimor</w:t>
            </w:r>
            <w:r w:rsidR="008577BA" w:rsidRPr="008577BA">
              <w:rPr>
                <w:rFonts w:ascii="Times New Roman" w:hAnsi="Times New Roman"/>
                <w:sz w:val="24"/>
                <w:szCs w:val="24"/>
                <w:lang w:val="sq-AL"/>
              </w:rPr>
              <w:t xml:space="preserve"> konsiderohet si faza përfundimtare e realizimit të një të drejte të fituar gjyqësisht.</w:t>
            </w:r>
          </w:p>
          <w:p w14:paraId="4843AE03" w14:textId="20E4EA04" w:rsidR="00E052DE" w:rsidRPr="005157CB" w:rsidRDefault="00E052DE" w:rsidP="00E052DE">
            <w:pPr>
              <w:rPr>
                <w:rFonts w:ascii="Times New Roman" w:hAnsi="Times New Roman"/>
                <w:sz w:val="24"/>
                <w:szCs w:val="24"/>
                <w:lang w:val="sq-AL"/>
              </w:rPr>
            </w:pPr>
          </w:p>
        </w:tc>
      </w:tr>
      <w:tr w:rsidR="00E052DE" w:rsidRPr="00325A1F" w14:paraId="39CA30C9" w14:textId="77777777" w:rsidTr="00D7719D">
        <w:trPr>
          <w:trHeight w:val="543"/>
        </w:trPr>
        <w:tc>
          <w:tcPr>
            <w:tcW w:w="9715" w:type="dxa"/>
            <w:gridSpan w:val="2"/>
          </w:tcPr>
          <w:p w14:paraId="6D686755" w14:textId="6BC2B85F" w:rsidR="00E052DE" w:rsidRPr="005157CB" w:rsidRDefault="00E052DE" w:rsidP="00E052DE">
            <w:pPr>
              <w:spacing w:line="276" w:lineRule="auto"/>
              <w:jc w:val="both"/>
              <w:rPr>
                <w:rFonts w:ascii="Times New Roman" w:hAnsi="Times New Roman"/>
                <w:b/>
                <w:i/>
                <w:sz w:val="24"/>
                <w:szCs w:val="24"/>
                <w:lang w:val="sq-AL"/>
              </w:rPr>
            </w:pPr>
            <w:r w:rsidRPr="005157CB">
              <w:rPr>
                <w:rFonts w:ascii="Times New Roman" w:hAnsi="Times New Roman"/>
                <w:b/>
                <w:sz w:val="24"/>
                <w:szCs w:val="24"/>
                <w:lang w:val="sq-AL"/>
              </w:rPr>
              <w:lastRenderedPageBreak/>
              <w:t>OBJEKTIVAT</w:t>
            </w:r>
          </w:p>
          <w:p w14:paraId="07A69F56" w14:textId="71CD33C3" w:rsidR="00E052DE" w:rsidRPr="005157CB" w:rsidRDefault="00E052DE" w:rsidP="00E052DE">
            <w:pPr>
              <w:spacing w:line="276" w:lineRule="auto"/>
              <w:jc w:val="both"/>
              <w:rPr>
                <w:rFonts w:ascii="Times New Roman" w:hAnsi="Times New Roman"/>
                <w:i/>
                <w:sz w:val="24"/>
                <w:szCs w:val="24"/>
                <w:lang w:val="sq-AL"/>
              </w:rPr>
            </w:pPr>
            <w:r w:rsidRPr="005157CB">
              <w:rPr>
                <w:i/>
                <w:szCs w:val="24"/>
                <w:lang w:val="sq-AL"/>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sidRPr="005157CB">
              <w:rPr>
                <w:rFonts w:ascii="Times New Roman" w:hAnsi="Times New Roman"/>
                <w:i/>
                <w:sz w:val="24"/>
                <w:szCs w:val="24"/>
                <w:lang w:val="sq-AL"/>
              </w:rPr>
              <w:instrText xml:space="preserve"> FORMTEXT </w:instrText>
            </w:r>
            <w:r w:rsidRPr="005157CB">
              <w:rPr>
                <w:i/>
                <w:szCs w:val="24"/>
                <w:lang w:val="sq-AL"/>
              </w:rPr>
            </w:r>
            <w:r w:rsidRPr="005157CB">
              <w:rPr>
                <w:i/>
                <w:szCs w:val="24"/>
                <w:lang w:val="sq-AL"/>
              </w:rPr>
              <w:fldChar w:fldCharType="separate"/>
            </w:r>
            <w:r w:rsidRPr="005157CB">
              <w:rPr>
                <w:rFonts w:ascii="Times New Roman" w:hAnsi="Times New Roman"/>
                <w:i/>
                <w:noProof/>
                <w:sz w:val="24"/>
                <w:szCs w:val="24"/>
                <w:lang w:val="sq-AL"/>
              </w:rPr>
              <w:t>Cilat janë objektivat dhe rezultatet e synuara të propozimit? (jo më shumë se 7  rreshta)</w:t>
            </w:r>
            <w:r w:rsidRPr="005157CB">
              <w:rPr>
                <w:i/>
                <w:szCs w:val="24"/>
                <w:lang w:val="sq-AL"/>
              </w:rPr>
              <w:fldChar w:fldCharType="end"/>
            </w:r>
            <w:bookmarkEnd w:id="3"/>
          </w:p>
          <w:p w14:paraId="6847C0CA" w14:textId="074EE17D" w:rsidR="00E052DE" w:rsidRPr="005157CB" w:rsidRDefault="00E052DE" w:rsidP="00E052DE">
            <w:pPr>
              <w:spacing w:line="276" w:lineRule="auto"/>
              <w:jc w:val="both"/>
              <w:rPr>
                <w:rFonts w:ascii="Times New Roman" w:hAnsi="Times New Roman"/>
                <w:i/>
                <w:sz w:val="24"/>
                <w:szCs w:val="24"/>
                <w:lang w:val="sq-AL"/>
              </w:rPr>
            </w:pPr>
          </w:p>
          <w:p w14:paraId="4AB1E975" w14:textId="499F85B2" w:rsidR="00E052DE" w:rsidRPr="005157CB" w:rsidRDefault="009618A1" w:rsidP="008C707E">
            <w:pPr>
              <w:pStyle w:val="ListParagraph"/>
              <w:numPr>
                <w:ilvl w:val="0"/>
                <w:numId w:val="36"/>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FC7481">
              <w:rPr>
                <w:rFonts w:ascii="Times New Roman" w:hAnsi="Times New Roman"/>
                <w:sz w:val="24"/>
                <w:szCs w:val="24"/>
                <w:lang w:val="sq-AL"/>
              </w:rPr>
              <w:t xml:space="preserve"> </w:t>
            </w:r>
            <w:r w:rsidR="00E052DE" w:rsidRPr="005157CB">
              <w:rPr>
                <w:rFonts w:ascii="Times New Roman" w:hAnsi="Times New Roman"/>
                <w:sz w:val="24"/>
                <w:szCs w:val="24"/>
                <w:lang w:val="sq-AL"/>
              </w:rPr>
              <w:t xml:space="preserve">Objektivat kryesorë që synohen nëpërmjet kësaj iniciative </w:t>
            </w:r>
            <w:r w:rsidR="00FC7481">
              <w:rPr>
                <w:rFonts w:ascii="Times New Roman" w:hAnsi="Times New Roman"/>
                <w:sz w:val="24"/>
                <w:szCs w:val="24"/>
                <w:lang w:val="sq-AL"/>
              </w:rPr>
              <w:t>paraqiten si</w:t>
            </w:r>
            <w:r w:rsidR="00E052DE" w:rsidRPr="005157CB">
              <w:rPr>
                <w:rFonts w:ascii="Times New Roman" w:hAnsi="Times New Roman"/>
                <w:sz w:val="24"/>
                <w:szCs w:val="24"/>
                <w:lang w:val="sq-AL"/>
              </w:rPr>
              <w:t xml:space="preserve"> më poshtë vijon:</w:t>
            </w:r>
          </w:p>
          <w:p w14:paraId="265614D5" w14:textId="66433297" w:rsidR="00E052DE" w:rsidRPr="005157CB" w:rsidRDefault="007A480F" w:rsidP="008C707E">
            <w:pPr>
              <w:pStyle w:val="ListParagraph"/>
              <w:numPr>
                <w:ilvl w:val="0"/>
                <w:numId w:val="31"/>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Pr="005157CB">
              <w:rPr>
                <w:rFonts w:ascii="Times New Roman" w:hAnsi="Times New Roman"/>
                <w:sz w:val="24"/>
                <w:szCs w:val="24"/>
              </w:rPr>
              <w:t xml:space="preserve"> </w:t>
            </w:r>
            <w:r w:rsidRPr="005157CB">
              <w:rPr>
                <w:rFonts w:ascii="Times New Roman" w:hAnsi="Times New Roman"/>
                <w:sz w:val="24"/>
                <w:szCs w:val="24"/>
                <w:lang w:val="sq-AL"/>
              </w:rPr>
              <w:t>të rregullojë çështjet thelbësore të organi</w:t>
            </w:r>
            <w:r w:rsidR="00FC7481">
              <w:rPr>
                <w:rFonts w:ascii="Times New Roman" w:hAnsi="Times New Roman"/>
                <w:sz w:val="24"/>
                <w:szCs w:val="24"/>
                <w:lang w:val="sq-AL"/>
              </w:rPr>
              <w:t xml:space="preserve">zimit dhe funksionimit të </w:t>
            </w:r>
            <w:r w:rsidRPr="005157CB">
              <w:rPr>
                <w:rFonts w:ascii="Times New Roman" w:hAnsi="Times New Roman"/>
                <w:sz w:val="24"/>
                <w:szCs w:val="24"/>
                <w:lang w:val="sq-AL"/>
              </w:rPr>
              <w:t>shërbimi</w:t>
            </w:r>
            <w:r w:rsidR="00FC7481">
              <w:rPr>
                <w:rFonts w:ascii="Times New Roman" w:hAnsi="Times New Roman"/>
                <w:sz w:val="24"/>
                <w:szCs w:val="24"/>
                <w:lang w:val="sq-AL"/>
              </w:rPr>
              <w:t>t përmbarimor gjyqësor shtetëror</w:t>
            </w:r>
            <w:r w:rsidRPr="005157CB">
              <w:rPr>
                <w:rFonts w:ascii="Times New Roman" w:hAnsi="Times New Roman"/>
                <w:sz w:val="24"/>
                <w:szCs w:val="24"/>
                <w:lang w:val="sq-AL"/>
              </w:rPr>
              <w:t>, duke vendosur parashikime mbi kushtet që duhet të përmbushin individët për të ushtruar detyrën e përmbaruesit gjyqësor shtetëror, statusin, vlerësimin etik dhe profesional të tyre, procedimin disiplinor, përfundimin e marrëdhënies në shërbimin përmbarimor gjyqësor shtetëror, si dhe marrëdhëniet me institucionet shtetërore dhe me subjektet e tjera publikë dhe privatë</w:t>
            </w:r>
            <w:r w:rsidR="00E052DE" w:rsidRPr="005157CB">
              <w:rPr>
                <w:rFonts w:ascii="Times New Roman" w:hAnsi="Times New Roman"/>
                <w:sz w:val="24"/>
                <w:szCs w:val="24"/>
                <w:lang w:val="sq-AL"/>
              </w:rPr>
              <w:t>;</w:t>
            </w:r>
          </w:p>
          <w:p w14:paraId="2EF6BD4A" w14:textId="2A540D8F" w:rsidR="00E052DE" w:rsidRPr="005157CB" w:rsidRDefault="009618A1" w:rsidP="008C707E">
            <w:pPr>
              <w:pStyle w:val="ListParagraph"/>
              <w:numPr>
                <w:ilvl w:val="0"/>
                <w:numId w:val="31"/>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w:t>
            </w:r>
            <w:r w:rsidR="008C707E">
              <w:rPr>
                <w:rFonts w:ascii="Times New Roman" w:hAnsi="Times New Roman"/>
                <w:sz w:val="24"/>
                <w:szCs w:val="24"/>
                <w:lang w:val="sq-AL"/>
              </w:rPr>
              <w:t xml:space="preserve"> </w:t>
            </w:r>
            <w:r w:rsidRPr="005157CB">
              <w:rPr>
                <w:rFonts w:ascii="Times New Roman" w:hAnsi="Times New Roman"/>
                <w:sz w:val="24"/>
                <w:szCs w:val="24"/>
                <w:lang w:val="sq-AL"/>
              </w:rPr>
              <w:t xml:space="preserve">të parashikojë një shërbim përmbarimor </w:t>
            </w:r>
            <w:r w:rsidR="00FC7481">
              <w:rPr>
                <w:rFonts w:ascii="Times New Roman" w:hAnsi="Times New Roman"/>
                <w:sz w:val="24"/>
                <w:szCs w:val="24"/>
                <w:lang w:val="sq-AL"/>
              </w:rPr>
              <w:t xml:space="preserve">shtetëror </w:t>
            </w:r>
            <w:r w:rsidRPr="005157CB">
              <w:rPr>
                <w:rFonts w:ascii="Times New Roman" w:hAnsi="Times New Roman"/>
                <w:sz w:val="24"/>
                <w:szCs w:val="24"/>
                <w:lang w:val="sq-AL"/>
              </w:rPr>
              <w:t>garantues të drejtash dhe llogaridhënie që synon ridimensionimin e këtij shërbimi në tërësinë e tij, në terma të rritjes së eficen</w:t>
            </w:r>
            <w:r w:rsidR="00FC7481">
              <w:rPr>
                <w:rFonts w:ascii="Times New Roman" w:hAnsi="Times New Roman"/>
                <w:sz w:val="24"/>
                <w:szCs w:val="24"/>
                <w:lang w:val="sq-AL"/>
              </w:rPr>
              <w:t>cës së ekzekutimit përmbarimor,</w:t>
            </w:r>
            <w:r w:rsidRPr="005157CB">
              <w:rPr>
                <w:rFonts w:ascii="Times New Roman" w:hAnsi="Times New Roman"/>
                <w:sz w:val="24"/>
                <w:szCs w:val="24"/>
                <w:lang w:val="sq-AL"/>
              </w:rPr>
              <w:t>përgjegjshmërisë, profesionalizmit, llogaridhënies, besueshmërisë së publikut dhe të orientuar drejt një shërbimi cilësor ndaj qytetarit.</w:t>
            </w:r>
          </w:p>
          <w:p w14:paraId="61C410ED" w14:textId="01203AA7" w:rsidR="00E052DE" w:rsidRPr="005157CB" w:rsidRDefault="00E052DE" w:rsidP="00E052DE">
            <w:pPr>
              <w:jc w:val="both"/>
              <w:rPr>
                <w:rFonts w:ascii="Times New Roman" w:hAnsi="Times New Roman"/>
                <w:sz w:val="24"/>
                <w:szCs w:val="24"/>
                <w:lang w:val="sq-AL"/>
              </w:rPr>
            </w:pPr>
            <w:r w:rsidRPr="005157CB">
              <w:rPr>
                <w:szCs w:val="24"/>
                <w:lang w:val="sq-AL"/>
              </w:rPr>
              <w:fldChar w:fldCharType="begin">
                <w:ffData>
                  <w:name w:val=""/>
                  <w:enabled/>
                  <w:calcOnExit w:val="0"/>
                  <w:textInput>
                    <w:maxLength w:val="546"/>
                  </w:textInput>
                </w:ffData>
              </w:fldChar>
            </w:r>
            <w:r w:rsidRPr="005157CB">
              <w:rPr>
                <w:rFonts w:ascii="Times New Roman" w:hAnsi="Times New Roman"/>
                <w:sz w:val="24"/>
                <w:szCs w:val="24"/>
                <w:lang w:val="sq-AL"/>
              </w:rPr>
              <w:instrText xml:space="preserve"> FORMTEXT </w:instrText>
            </w:r>
            <w:r w:rsidRPr="005157CB">
              <w:rPr>
                <w:szCs w:val="24"/>
                <w:lang w:val="sq-AL"/>
              </w:rPr>
            </w:r>
            <w:r w:rsidRPr="005157CB">
              <w:rPr>
                <w:szCs w:val="24"/>
                <w:lang w:val="sq-AL"/>
              </w:rPr>
              <w:fldChar w:fldCharType="separate"/>
            </w:r>
            <w:r w:rsidRPr="005157CB">
              <w:rPr>
                <w:rFonts w:ascii="Times New Roman" w:hAnsi="Times New Roman"/>
                <w:noProof/>
                <w:sz w:val="24"/>
                <w:szCs w:val="24"/>
                <w:lang w:val="sq-AL"/>
              </w:rPr>
              <w:t> </w:t>
            </w:r>
            <w:r w:rsidRPr="005157CB">
              <w:rPr>
                <w:rFonts w:ascii="Times New Roman" w:hAnsi="Times New Roman"/>
                <w:noProof/>
                <w:sz w:val="24"/>
                <w:szCs w:val="24"/>
                <w:lang w:val="sq-AL"/>
              </w:rPr>
              <w:t> </w:t>
            </w:r>
            <w:r w:rsidRPr="005157CB">
              <w:rPr>
                <w:rFonts w:ascii="Times New Roman" w:hAnsi="Times New Roman"/>
                <w:noProof/>
                <w:sz w:val="24"/>
                <w:szCs w:val="24"/>
                <w:lang w:val="sq-AL"/>
              </w:rPr>
              <w:t> </w:t>
            </w:r>
            <w:r w:rsidRPr="005157CB">
              <w:rPr>
                <w:rFonts w:ascii="Times New Roman" w:hAnsi="Times New Roman"/>
                <w:noProof/>
                <w:sz w:val="24"/>
                <w:szCs w:val="24"/>
                <w:lang w:val="sq-AL"/>
              </w:rPr>
              <w:t> </w:t>
            </w:r>
            <w:r w:rsidRPr="005157CB">
              <w:rPr>
                <w:rFonts w:ascii="Times New Roman" w:hAnsi="Times New Roman"/>
                <w:noProof/>
                <w:sz w:val="24"/>
                <w:szCs w:val="24"/>
                <w:lang w:val="sq-AL"/>
              </w:rPr>
              <w:t> </w:t>
            </w:r>
            <w:r w:rsidRPr="005157CB">
              <w:rPr>
                <w:szCs w:val="24"/>
                <w:lang w:val="sq-AL"/>
              </w:rPr>
              <w:fldChar w:fldCharType="end"/>
            </w:r>
          </w:p>
        </w:tc>
      </w:tr>
      <w:tr w:rsidR="00E052DE" w:rsidRPr="00325A1F" w14:paraId="3F92AAA3" w14:textId="77777777" w:rsidTr="00D7719D">
        <w:tc>
          <w:tcPr>
            <w:tcW w:w="9715" w:type="dxa"/>
            <w:gridSpan w:val="2"/>
          </w:tcPr>
          <w:p w14:paraId="592FC785" w14:textId="77777777" w:rsidR="00E052DE" w:rsidRPr="005157CB" w:rsidRDefault="00E052DE" w:rsidP="00E052DE">
            <w:pPr>
              <w:jc w:val="both"/>
              <w:rPr>
                <w:rFonts w:ascii="Times New Roman" w:hAnsi="Times New Roman"/>
                <w:b/>
                <w:sz w:val="24"/>
                <w:szCs w:val="24"/>
                <w:lang w:val="sq-AL"/>
              </w:rPr>
            </w:pPr>
            <w:r w:rsidRPr="005157CB">
              <w:rPr>
                <w:rFonts w:ascii="Times New Roman" w:hAnsi="Times New Roman"/>
                <w:b/>
                <w:sz w:val="24"/>
                <w:szCs w:val="24"/>
                <w:lang w:val="sq-AL"/>
              </w:rPr>
              <w:t>OPSIONET E POLITIKAVE</w:t>
            </w:r>
          </w:p>
          <w:p w14:paraId="190621B2" w14:textId="77777777" w:rsidR="00E052DE" w:rsidRPr="005157CB" w:rsidRDefault="00E052DE" w:rsidP="00E052DE">
            <w:pPr>
              <w:jc w:val="both"/>
              <w:rPr>
                <w:rFonts w:ascii="Times New Roman" w:hAnsi="Times New Roman"/>
                <w:i/>
                <w:sz w:val="24"/>
                <w:szCs w:val="24"/>
                <w:lang w:val="sq-AL"/>
              </w:rPr>
            </w:pPr>
            <w:r w:rsidRPr="005157CB">
              <w:rPr>
                <w:rFonts w:ascii="Times New Roman" w:hAnsi="Times New Roman"/>
                <w:i/>
                <w:sz w:val="24"/>
                <w:szCs w:val="24"/>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14:paraId="1B475E1E" w14:textId="77777777" w:rsidR="00E052DE" w:rsidRPr="005157CB" w:rsidRDefault="00E052DE" w:rsidP="00E052DE">
            <w:pPr>
              <w:jc w:val="both"/>
              <w:rPr>
                <w:rFonts w:ascii="Times New Roman" w:hAnsi="Times New Roman"/>
                <w:i/>
                <w:sz w:val="24"/>
                <w:szCs w:val="24"/>
                <w:lang w:val="sq-AL"/>
              </w:rPr>
            </w:pPr>
          </w:p>
          <w:p w14:paraId="1BF25E12" w14:textId="77777777" w:rsidR="00E052DE" w:rsidRPr="005157CB" w:rsidRDefault="00E052DE"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Për arritjen e objektivave të politikës janë shqyrtuar opsionet e mëposhtme:</w:t>
            </w:r>
          </w:p>
          <w:p w14:paraId="3C0FA2B8" w14:textId="77777777" w:rsidR="00E052DE" w:rsidRPr="005157CB" w:rsidRDefault="00E052DE" w:rsidP="008C707E">
            <w:pPr>
              <w:pStyle w:val="ListParagraph"/>
              <w:numPr>
                <w:ilvl w:val="0"/>
                <w:numId w:val="32"/>
              </w:numPr>
              <w:spacing w:line="276" w:lineRule="auto"/>
              <w:ind w:left="630" w:hanging="270"/>
              <w:jc w:val="both"/>
              <w:rPr>
                <w:rFonts w:ascii="Times New Roman" w:hAnsi="Times New Roman"/>
                <w:sz w:val="24"/>
                <w:szCs w:val="24"/>
                <w:lang w:val="sq-AL"/>
              </w:rPr>
            </w:pPr>
            <w:r w:rsidRPr="005157CB">
              <w:rPr>
                <w:rFonts w:ascii="Times New Roman" w:hAnsi="Times New Roman"/>
                <w:b/>
                <w:sz w:val="24"/>
                <w:szCs w:val="24"/>
                <w:lang w:val="sq-AL"/>
              </w:rPr>
              <w:t>Opsioni 0</w:t>
            </w:r>
            <w:r w:rsidRPr="005157CB">
              <w:rPr>
                <w:rFonts w:ascii="Times New Roman" w:hAnsi="Times New Roman"/>
                <w:sz w:val="24"/>
                <w:szCs w:val="24"/>
                <w:lang w:val="sq-AL"/>
              </w:rPr>
              <w:t xml:space="preserve"> (</w:t>
            </w:r>
            <w:r w:rsidRPr="005157CB">
              <w:rPr>
                <w:rFonts w:ascii="Times New Roman" w:hAnsi="Times New Roman"/>
                <w:i/>
                <w:sz w:val="24"/>
                <w:szCs w:val="24"/>
                <w:lang w:val="sq-AL"/>
              </w:rPr>
              <w:t>status quo)</w:t>
            </w:r>
            <w:r w:rsidRPr="005157CB">
              <w:rPr>
                <w:rFonts w:ascii="Times New Roman" w:hAnsi="Times New Roman"/>
                <w:sz w:val="24"/>
                <w:szCs w:val="24"/>
                <w:lang w:val="sq-AL"/>
              </w:rPr>
              <w:t>: - nuk do të ndërhyjmë me ndryshim apo politikë të re;</w:t>
            </w:r>
          </w:p>
          <w:p w14:paraId="2A09E46A" w14:textId="102C01BB" w:rsidR="00FC65F0" w:rsidRPr="005157CB" w:rsidRDefault="00E052DE" w:rsidP="008C707E">
            <w:pPr>
              <w:pStyle w:val="ListParagraph"/>
              <w:numPr>
                <w:ilvl w:val="0"/>
                <w:numId w:val="32"/>
              </w:numPr>
              <w:spacing w:line="276" w:lineRule="auto"/>
              <w:ind w:left="630" w:hanging="270"/>
              <w:jc w:val="both"/>
              <w:rPr>
                <w:rFonts w:ascii="Times New Roman" w:hAnsi="Times New Roman"/>
                <w:sz w:val="24"/>
                <w:szCs w:val="24"/>
                <w:lang w:val="sq-AL"/>
              </w:rPr>
            </w:pPr>
            <w:r w:rsidRPr="005157CB">
              <w:rPr>
                <w:rFonts w:ascii="Times New Roman" w:hAnsi="Times New Roman"/>
                <w:b/>
                <w:sz w:val="24"/>
                <w:szCs w:val="24"/>
                <w:lang w:val="sq-AL"/>
              </w:rPr>
              <w:t>Opsioni 1</w:t>
            </w:r>
            <w:r w:rsidRPr="005157CB">
              <w:rPr>
                <w:rFonts w:ascii="Times New Roman" w:hAnsi="Times New Roman"/>
                <w:sz w:val="24"/>
                <w:szCs w:val="24"/>
                <w:lang w:val="sq-AL"/>
              </w:rPr>
              <w:t xml:space="preserve">: </w:t>
            </w:r>
            <w:r w:rsidR="00FC65F0" w:rsidRPr="005157CB">
              <w:rPr>
                <w:rFonts w:ascii="Times New Roman" w:hAnsi="Times New Roman"/>
                <w:sz w:val="24"/>
                <w:szCs w:val="24"/>
                <w:lang w:val="sq-AL"/>
              </w:rPr>
              <w:t>Kryerja e ndërhyrjeve ligjore, duke ndryshuar ligjin nr.  8730, datë 18.1.2001, “Për organizimin dhe funksionimin e shërbimit të përmbarimit gjyqësor”, i ndryshuar;</w:t>
            </w:r>
          </w:p>
          <w:p w14:paraId="267D051E" w14:textId="133712BD" w:rsidR="00E052DE" w:rsidRPr="005157CB" w:rsidRDefault="00E052DE" w:rsidP="008C707E">
            <w:pPr>
              <w:pStyle w:val="ListParagraph"/>
              <w:numPr>
                <w:ilvl w:val="0"/>
                <w:numId w:val="32"/>
              </w:numPr>
              <w:spacing w:line="276" w:lineRule="auto"/>
              <w:ind w:left="630" w:hanging="270"/>
              <w:jc w:val="both"/>
              <w:rPr>
                <w:rFonts w:ascii="Times New Roman" w:hAnsi="Times New Roman"/>
                <w:sz w:val="24"/>
                <w:szCs w:val="24"/>
                <w:lang w:val="sq-AL"/>
              </w:rPr>
            </w:pPr>
            <w:r w:rsidRPr="005157CB">
              <w:rPr>
                <w:rFonts w:ascii="Times New Roman" w:hAnsi="Times New Roman"/>
                <w:b/>
                <w:sz w:val="24"/>
                <w:szCs w:val="24"/>
                <w:lang w:val="sq-AL"/>
              </w:rPr>
              <w:t>Opsioni 2:</w:t>
            </w:r>
            <w:r w:rsidRPr="005157CB">
              <w:rPr>
                <w:rFonts w:ascii="Times New Roman" w:hAnsi="Times New Roman"/>
                <w:sz w:val="24"/>
                <w:szCs w:val="24"/>
                <w:lang w:val="sq-AL"/>
              </w:rPr>
              <w:t xml:space="preserve"> Hartimi dhe miratimi i një ligji për </w:t>
            </w:r>
            <w:r w:rsidR="00FC65F0" w:rsidRPr="005157CB">
              <w:rPr>
                <w:rFonts w:ascii="Times New Roman" w:hAnsi="Times New Roman"/>
                <w:sz w:val="24"/>
                <w:szCs w:val="24"/>
                <w:lang w:val="sq-AL"/>
              </w:rPr>
              <w:t>Shërbimin Përmbarimor Gjyqësor Shtetë</w:t>
            </w:r>
            <w:r w:rsidR="00D71409" w:rsidRPr="005157CB">
              <w:rPr>
                <w:rFonts w:ascii="Times New Roman" w:hAnsi="Times New Roman"/>
                <w:sz w:val="24"/>
                <w:szCs w:val="24"/>
                <w:lang w:val="sq-AL"/>
              </w:rPr>
              <w:t xml:space="preserve">ror, i cili pas hyrjes në fuqi lë pa pasoja juridike ligjin në fuqi, duke e shfuqizuar tërësisht atë. </w:t>
            </w:r>
          </w:p>
          <w:p w14:paraId="443F3E7B" w14:textId="77777777" w:rsidR="00541B44" w:rsidRPr="005157CB" w:rsidRDefault="00541B44" w:rsidP="008C707E">
            <w:pPr>
              <w:spacing w:line="276" w:lineRule="auto"/>
              <w:jc w:val="both"/>
              <w:rPr>
                <w:rFonts w:ascii="Times New Roman" w:hAnsi="Times New Roman"/>
                <w:b/>
                <w:color w:val="000000" w:themeColor="text1"/>
                <w:sz w:val="24"/>
                <w:szCs w:val="24"/>
                <w:lang w:val="sq-AL"/>
              </w:rPr>
            </w:pPr>
          </w:p>
          <w:p w14:paraId="253A22C5" w14:textId="27495B45" w:rsidR="00E052DE" w:rsidRPr="005157CB" w:rsidRDefault="00E052DE" w:rsidP="008C707E">
            <w:pPr>
              <w:spacing w:line="276" w:lineRule="auto"/>
              <w:jc w:val="both"/>
              <w:rPr>
                <w:rFonts w:ascii="Times New Roman" w:hAnsi="Times New Roman"/>
                <w:color w:val="000000" w:themeColor="text1"/>
                <w:sz w:val="24"/>
                <w:szCs w:val="24"/>
                <w:lang w:val="sq-AL"/>
              </w:rPr>
            </w:pPr>
            <w:r w:rsidRPr="005157CB">
              <w:rPr>
                <w:rFonts w:ascii="Times New Roman" w:hAnsi="Times New Roman"/>
                <w:b/>
                <w:color w:val="000000" w:themeColor="text1"/>
                <w:sz w:val="24"/>
                <w:szCs w:val="24"/>
                <w:lang w:val="sq-AL"/>
              </w:rPr>
              <w:t xml:space="preserve">Opsioni 0 </w:t>
            </w:r>
            <w:r w:rsidRPr="005157CB">
              <w:rPr>
                <w:rFonts w:ascii="Times New Roman" w:hAnsi="Times New Roman"/>
                <w:color w:val="000000" w:themeColor="text1"/>
                <w:sz w:val="24"/>
                <w:szCs w:val="24"/>
                <w:lang w:val="sq-AL"/>
              </w:rPr>
              <w:t xml:space="preserve">– Ruajtja e </w:t>
            </w:r>
            <w:r w:rsidRPr="005157CB">
              <w:rPr>
                <w:rFonts w:ascii="Times New Roman" w:hAnsi="Times New Roman"/>
                <w:i/>
                <w:color w:val="000000" w:themeColor="text1"/>
                <w:sz w:val="24"/>
                <w:szCs w:val="24"/>
                <w:lang w:val="sq-AL"/>
              </w:rPr>
              <w:t>status quo-së</w:t>
            </w:r>
            <w:r w:rsidRPr="005157CB">
              <w:rPr>
                <w:rFonts w:ascii="Times New Roman" w:hAnsi="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w:t>
            </w:r>
            <w:r w:rsidR="00F64F5E" w:rsidRPr="005157CB">
              <w:rPr>
                <w:rFonts w:ascii="Times New Roman" w:hAnsi="Times New Roman"/>
                <w:color w:val="000000" w:themeColor="text1"/>
                <w:sz w:val="24"/>
                <w:szCs w:val="24"/>
                <w:lang w:val="sq-AL"/>
              </w:rPr>
              <w:t xml:space="preserve">je të menjëhershme të problematikave të evidentuara për organizimin dhe funksionimin e shërbimit përmbarimor gjyqësor shtetëror. Aplikimi i këtij opsioni nënkupton që </w:t>
            </w:r>
            <w:r w:rsidRPr="005157CB">
              <w:rPr>
                <w:rFonts w:ascii="Times New Roman" w:hAnsi="Times New Roman"/>
                <w:color w:val="000000" w:themeColor="text1"/>
                <w:sz w:val="24"/>
                <w:szCs w:val="24"/>
                <w:lang w:val="sq-AL"/>
              </w:rPr>
              <w:t>situata</w:t>
            </w:r>
            <w:r w:rsidR="00F64F5E" w:rsidRPr="005157CB">
              <w:rPr>
                <w:rFonts w:ascii="Times New Roman" w:hAnsi="Times New Roman"/>
                <w:color w:val="000000" w:themeColor="text1"/>
                <w:sz w:val="24"/>
                <w:szCs w:val="24"/>
                <w:lang w:val="sq-AL"/>
              </w:rPr>
              <w:t>t e ndryshme</w:t>
            </w:r>
            <w:r w:rsidRPr="005157CB">
              <w:rPr>
                <w:rFonts w:ascii="Times New Roman" w:hAnsi="Times New Roman"/>
                <w:color w:val="000000" w:themeColor="text1"/>
                <w:sz w:val="24"/>
                <w:szCs w:val="24"/>
                <w:lang w:val="sq-AL"/>
              </w:rPr>
              <w:t xml:space="preserve"> juridike që kërkojnë ndërhyrje nëpërmjet ndryshimeve ligjore, ngelen të parregulluara dhe të patrajtuara sipas nevojave të sotme praktike. </w:t>
            </w:r>
          </w:p>
          <w:p w14:paraId="4254B55C" w14:textId="77777777" w:rsidR="00E052DE" w:rsidRPr="005157CB" w:rsidRDefault="00E052DE" w:rsidP="008C707E">
            <w:pPr>
              <w:spacing w:line="276" w:lineRule="auto"/>
              <w:jc w:val="both"/>
              <w:rPr>
                <w:rFonts w:ascii="Times New Roman" w:hAnsi="Times New Roman"/>
                <w:color w:val="000000" w:themeColor="text1"/>
                <w:sz w:val="24"/>
                <w:szCs w:val="24"/>
                <w:lang w:val="sq-AL"/>
              </w:rPr>
            </w:pPr>
          </w:p>
          <w:p w14:paraId="78A73DB1" w14:textId="2871FAFD" w:rsidR="001A3354" w:rsidRPr="005157CB" w:rsidRDefault="00E052DE" w:rsidP="008C707E">
            <w:pPr>
              <w:spacing w:after="240" w:line="276" w:lineRule="auto"/>
              <w:jc w:val="both"/>
              <w:rPr>
                <w:rFonts w:ascii="Times New Roman" w:hAnsi="Times New Roman"/>
                <w:sz w:val="24"/>
                <w:szCs w:val="24"/>
                <w:lang w:val="sq-AL"/>
              </w:rPr>
            </w:pPr>
            <w:r w:rsidRPr="005157CB">
              <w:rPr>
                <w:rFonts w:ascii="Times New Roman" w:hAnsi="Times New Roman"/>
                <w:b/>
                <w:sz w:val="24"/>
                <w:szCs w:val="24"/>
                <w:lang w:val="sq-AL"/>
              </w:rPr>
              <w:lastRenderedPageBreak/>
              <w:t>Opsioni 1</w:t>
            </w:r>
            <w:r w:rsidR="008F234B" w:rsidRPr="005157CB">
              <w:rPr>
                <w:rFonts w:ascii="Times New Roman" w:hAnsi="Times New Roman"/>
                <w:b/>
                <w:sz w:val="24"/>
                <w:szCs w:val="24"/>
                <w:lang w:val="sq-AL"/>
              </w:rPr>
              <w:t xml:space="preserve"> -</w:t>
            </w:r>
            <w:r w:rsidR="008F234B" w:rsidRPr="005157CB">
              <w:rPr>
                <w:rFonts w:ascii="Times New Roman" w:hAnsi="Times New Roman"/>
                <w:sz w:val="24"/>
                <w:szCs w:val="24"/>
                <w:lang w:val="sq-AL"/>
              </w:rPr>
              <w:t xml:space="preserve"> </w:t>
            </w:r>
            <w:r w:rsidR="00115D74" w:rsidRPr="005157CB">
              <w:rPr>
                <w:rFonts w:ascii="Times New Roman" w:hAnsi="Times New Roman"/>
                <w:sz w:val="24"/>
                <w:szCs w:val="24"/>
                <w:lang w:val="sq-AL"/>
              </w:rPr>
              <w:t xml:space="preserve">Kryerja e ndërhyrjeve ligjore, duke ndryshuar ligjin nr.  8730, datë 18.1.2001, “Për organizimin dhe funksionimin e shërbimit të përmbarimit gjyqësor”, i ndryshuar, </w:t>
            </w:r>
            <w:r w:rsidR="00115D74" w:rsidRPr="005157CB">
              <w:rPr>
                <w:rFonts w:ascii="Times New Roman" w:hAnsi="Times New Roman"/>
                <w:i/>
                <w:sz w:val="24"/>
                <w:szCs w:val="24"/>
                <w:lang w:val="sq-AL"/>
              </w:rPr>
              <w:t>prima facie</w:t>
            </w:r>
            <w:r w:rsidR="00115D74" w:rsidRPr="005157CB">
              <w:rPr>
                <w:rFonts w:ascii="Times New Roman" w:hAnsi="Times New Roman"/>
                <w:sz w:val="24"/>
                <w:szCs w:val="24"/>
                <w:lang w:val="sq-AL"/>
              </w:rPr>
              <w:t xml:space="preserve"> rezulton si një opsion që mund të aplikohet me më pak kosto kohore dhe organizative në raport me opsionin 3, duke kryer ndërhyrje vetëm në problematikat kryesore që janë evident</w:t>
            </w:r>
            <w:r w:rsidR="008C707E">
              <w:rPr>
                <w:rFonts w:ascii="Times New Roman" w:hAnsi="Times New Roman"/>
                <w:sz w:val="24"/>
                <w:szCs w:val="24"/>
                <w:lang w:val="sq-AL"/>
              </w:rPr>
              <w:t xml:space="preserve">uar gjatë zbatimit në praktikë të ligjit. </w:t>
            </w:r>
            <w:r w:rsidR="008803DE" w:rsidRPr="005157CB">
              <w:rPr>
                <w:rFonts w:ascii="Times New Roman" w:hAnsi="Times New Roman"/>
                <w:sz w:val="24"/>
                <w:szCs w:val="24"/>
                <w:lang w:val="sq-AL"/>
              </w:rPr>
              <w:t>Adresimi vetë</w:t>
            </w:r>
            <w:r w:rsidR="001A3354" w:rsidRPr="005157CB">
              <w:rPr>
                <w:rFonts w:ascii="Times New Roman" w:hAnsi="Times New Roman"/>
                <w:sz w:val="24"/>
                <w:szCs w:val="24"/>
                <w:lang w:val="sq-AL"/>
              </w:rPr>
              <w:t>m i</w:t>
            </w:r>
            <w:r w:rsidR="008803DE" w:rsidRPr="005157CB">
              <w:rPr>
                <w:rFonts w:ascii="Times New Roman" w:hAnsi="Times New Roman"/>
                <w:sz w:val="24"/>
                <w:szCs w:val="24"/>
                <w:lang w:val="sq-AL"/>
              </w:rPr>
              <w:t xml:space="preserve"> disa prej problematikave nuk i shërben përmbushjes së qëllimit të ligjbërësit (</w:t>
            </w:r>
            <w:r w:rsidR="008803DE" w:rsidRPr="005157CB">
              <w:rPr>
                <w:rFonts w:ascii="Times New Roman" w:hAnsi="Times New Roman"/>
                <w:i/>
                <w:sz w:val="24"/>
                <w:szCs w:val="24"/>
                <w:lang w:val="sq-AL"/>
              </w:rPr>
              <w:t>të evidentuar më sipër</w:t>
            </w:r>
            <w:r w:rsidR="008803DE" w:rsidRPr="005157CB">
              <w:rPr>
                <w:rFonts w:ascii="Times New Roman" w:hAnsi="Times New Roman"/>
                <w:sz w:val="24"/>
                <w:szCs w:val="24"/>
                <w:lang w:val="sq-AL"/>
              </w:rPr>
              <w:t>)</w:t>
            </w:r>
            <w:r w:rsidR="001A3354" w:rsidRPr="005157CB">
              <w:rPr>
                <w:rFonts w:ascii="Times New Roman" w:hAnsi="Times New Roman"/>
                <w:sz w:val="24"/>
                <w:szCs w:val="24"/>
                <w:lang w:val="sq-AL"/>
              </w:rPr>
              <w:t>, si dhe mund të krijojë dyshime mbi stabilitetin e ligjit dhe të lëkundë besimin në të.</w:t>
            </w:r>
          </w:p>
          <w:p w14:paraId="42F6B845" w14:textId="2C47445A" w:rsidR="001A3354" w:rsidRPr="005157CB" w:rsidRDefault="001A3354"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Për të zbatuar objektivat që synohen të arrihen është e nevojshme të ndryshohen parimet kryesore të ligjit ekzistues dhe në tërësi e gjithë struktura e tij, ndryshime të cilat tejkalojnë masën 70 përqind. Këto ndryshime prekin thelbin e ligjit </w:t>
            </w:r>
            <w:r w:rsidR="00844C90" w:rsidRPr="005157CB">
              <w:rPr>
                <w:rFonts w:ascii="Times New Roman" w:hAnsi="Times New Roman"/>
                <w:sz w:val="24"/>
                <w:szCs w:val="24"/>
                <w:lang w:val="sq-AL"/>
              </w:rPr>
              <w:t xml:space="preserve">nr. 8730/2001 </w:t>
            </w:r>
            <w:r w:rsidRPr="005157CB">
              <w:rPr>
                <w:rFonts w:ascii="Times New Roman" w:hAnsi="Times New Roman"/>
                <w:sz w:val="24"/>
                <w:szCs w:val="24"/>
                <w:lang w:val="sq-AL"/>
              </w:rPr>
              <w:t xml:space="preserve">dhe nuk rregullojnë </w:t>
            </w:r>
            <w:r w:rsidR="00844C90" w:rsidRPr="005157CB">
              <w:rPr>
                <w:rFonts w:ascii="Times New Roman" w:hAnsi="Times New Roman"/>
                <w:sz w:val="24"/>
                <w:szCs w:val="24"/>
                <w:lang w:val="sq-AL"/>
              </w:rPr>
              <w:t xml:space="preserve">vetëm </w:t>
            </w:r>
            <w:r w:rsidRPr="005157CB">
              <w:rPr>
                <w:rFonts w:ascii="Times New Roman" w:hAnsi="Times New Roman"/>
                <w:sz w:val="24"/>
                <w:szCs w:val="24"/>
                <w:lang w:val="sq-AL"/>
              </w:rPr>
              <w:t xml:space="preserve">disa aspekte të tij, ndaj </w:t>
            </w:r>
            <w:r w:rsidR="00844C90" w:rsidRPr="005157CB">
              <w:rPr>
                <w:rFonts w:ascii="Times New Roman" w:hAnsi="Times New Roman"/>
                <w:sz w:val="24"/>
                <w:szCs w:val="24"/>
                <w:lang w:val="sq-AL"/>
              </w:rPr>
              <w:t xml:space="preserve">vlerësohet </w:t>
            </w:r>
            <w:r w:rsidRPr="005157CB">
              <w:rPr>
                <w:rFonts w:ascii="Times New Roman" w:hAnsi="Times New Roman"/>
                <w:sz w:val="24"/>
                <w:szCs w:val="24"/>
                <w:lang w:val="sq-AL"/>
              </w:rPr>
              <w:t xml:space="preserve">mbi mundësinë e </w:t>
            </w:r>
            <w:r w:rsidR="008C707E">
              <w:rPr>
                <w:rFonts w:ascii="Times New Roman" w:hAnsi="Times New Roman"/>
                <w:sz w:val="24"/>
                <w:szCs w:val="24"/>
                <w:lang w:val="sq-AL"/>
              </w:rPr>
              <w:t xml:space="preserve">miratimit të </w:t>
            </w:r>
            <w:r w:rsidRPr="005157CB">
              <w:rPr>
                <w:rFonts w:ascii="Times New Roman" w:hAnsi="Times New Roman"/>
                <w:sz w:val="24"/>
                <w:szCs w:val="24"/>
                <w:lang w:val="sq-AL"/>
              </w:rPr>
              <w:t>një ligji të ri.</w:t>
            </w:r>
          </w:p>
          <w:p w14:paraId="5B22BFDE" w14:textId="7A371243" w:rsidR="00844C90" w:rsidRPr="005157CB" w:rsidRDefault="001A3354" w:rsidP="008C707E">
            <w:p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Në rast se do të vijohej me </w:t>
            </w:r>
            <w:r w:rsidR="00844C90" w:rsidRPr="005157CB">
              <w:rPr>
                <w:rFonts w:ascii="Times New Roman" w:hAnsi="Times New Roman"/>
                <w:sz w:val="24"/>
                <w:szCs w:val="24"/>
                <w:lang w:val="sq-AL"/>
              </w:rPr>
              <w:t xml:space="preserve">ndryshime </w:t>
            </w:r>
            <w:r w:rsidRPr="005157CB">
              <w:rPr>
                <w:rFonts w:ascii="Times New Roman" w:hAnsi="Times New Roman"/>
                <w:sz w:val="24"/>
                <w:szCs w:val="24"/>
                <w:lang w:val="sq-AL"/>
              </w:rPr>
              <w:t xml:space="preserve">në ligjin ekzistues, </w:t>
            </w:r>
            <w:r w:rsidR="00844C90" w:rsidRPr="005157CB">
              <w:rPr>
                <w:rFonts w:ascii="Times New Roman" w:hAnsi="Times New Roman"/>
                <w:sz w:val="24"/>
                <w:szCs w:val="24"/>
                <w:lang w:val="sq-AL"/>
              </w:rPr>
              <w:t xml:space="preserve">vlerësohet se </w:t>
            </w:r>
            <w:r w:rsidRPr="005157CB">
              <w:rPr>
                <w:rFonts w:ascii="Times New Roman" w:hAnsi="Times New Roman"/>
                <w:sz w:val="24"/>
                <w:szCs w:val="24"/>
                <w:lang w:val="sq-AL"/>
              </w:rPr>
              <w:t>nuk do të arrihej objektivi kryesor</w:t>
            </w:r>
            <w:r w:rsidR="002E55E8" w:rsidRPr="005157CB">
              <w:rPr>
                <w:rFonts w:ascii="Times New Roman" w:hAnsi="Times New Roman"/>
                <w:sz w:val="24"/>
                <w:szCs w:val="24"/>
                <w:lang w:val="sq-AL"/>
              </w:rPr>
              <w:t xml:space="preserve"> për përmirësimin dhe forcimin e</w:t>
            </w:r>
            <w:r w:rsidR="00844C90" w:rsidRPr="005157CB">
              <w:rPr>
                <w:rFonts w:ascii="Times New Roman" w:hAnsi="Times New Roman"/>
                <w:sz w:val="24"/>
                <w:szCs w:val="24"/>
                <w:lang w:val="sq-AL"/>
              </w:rPr>
              <w:t xml:space="preserve"> kushteve për emërimin, funksionimin, trajtimin financiar të përmbaruesve gjyqësorë shtetërorë</w:t>
            </w:r>
            <w:r w:rsidR="00D06646" w:rsidRPr="005157CB">
              <w:rPr>
                <w:rFonts w:ascii="Times New Roman" w:hAnsi="Times New Roman"/>
                <w:sz w:val="24"/>
                <w:szCs w:val="24"/>
                <w:lang w:val="sq-AL"/>
              </w:rPr>
              <w:t>, promovimin e tyre, si dhe përmirë</w:t>
            </w:r>
            <w:r w:rsidR="00CD5F15" w:rsidRPr="005157CB">
              <w:rPr>
                <w:rFonts w:ascii="Times New Roman" w:hAnsi="Times New Roman"/>
                <w:sz w:val="24"/>
                <w:szCs w:val="24"/>
                <w:lang w:val="sq-AL"/>
              </w:rPr>
              <w:t>simin e</w:t>
            </w:r>
            <w:r w:rsidR="00D06646" w:rsidRPr="005157CB">
              <w:rPr>
                <w:rFonts w:ascii="Times New Roman" w:hAnsi="Times New Roman"/>
                <w:sz w:val="24"/>
                <w:szCs w:val="24"/>
                <w:lang w:val="sq-AL"/>
              </w:rPr>
              <w:t xml:space="preserve"> mekanizmit kontrollues të tyre dhe ushtrimit të përgjegjësisë disiplinore. </w:t>
            </w:r>
          </w:p>
          <w:p w14:paraId="662C166B" w14:textId="67A03619" w:rsidR="00844C90" w:rsidRPr="005157CB" w:rsidRDefault="00844C90" w:rsidP="008C707E">
            <w:pPr>
              <w:spacing w:line="276" w:lineRule="auto"/>
              <w:jc w:val="both"/>
              <w:rPr>
                <w:rFonts w:ascii="Times New Roman" w:hAnsi="Times New Roman"/>
                <w:sz w:val="24"/>
                <w:szCs w:val="24"/>
                <w:lang w:val="sq-AL"/>
              </w:rPr>
            </w:pPr>
          </w:p>
          <w:p w14:paraId="55676534" w14:textId="77777777" w:rsidR="008C707E" w:rsidRDefault="00E052DE" w:rsidP="008C707E">
            <w:pPr>
              <w:spacing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Opsioni 2</w:t>
            </w:r>
            <w:r w:rsidRPr="005157CB">
              <w:rPr>
                <w:rFonts w:ascii="Times New Roman" w:hAnsi="Times New Roman"/>
                <w:color w:val="000000" w:themeColor="text1"/>
                <w:sz w:val="24"/>
                <w:szCs w:val="24"/>
                <w:lang w:val="sq-AL"/>
              </w:rPr>
              <w:t xml:space="preserve"> – Hartimi dhe miratimi i një ligji, i cili do të rregullonte këtë fushë ushtrimi veprimtarie në mënyrë të plotë dhe shteruese, </w:t>
            </w:r>
            <w:r w:rsidR="00CD5F15" w:rsidRPr="005157CB">
              <w:rPr>
                <w:rFonts w:ascii="Times New Roman" w:hAnsi="Times New Roman"/>
                <w:sz w:val="24"/>
                <w:szCs w:val="24"/>
                <w:lang w:val="sq-AL"/>
              </w:rPr>
              <w:t>duke përshtatur kërkesat e ushtrimit të këtij funksioni me ato të s</w:t>
            </w:r>
            <w:r w:rsidR="00995493" w:rsidRPr="005157CB">
              <w:rPr>
                <w:rFonts w:ascii="Times New Roman" w:hAnsi="Times New Roman"/>
                <w:sz w:val="24"/>
                <w:szCs w:val="24"/>
                <w:lang w:val="sq-AL"/>
              </w:rPr>
              <w:t>hë</w:t>
            </w:r>
            <w:r w:rsidR="00CD5F15" w:rsidRPr="005157CB">
              <w:rPr>
                <w:rFonts w:ascii="Times New Roman" w:hAnsi="Times New Roman"/>
                <w:sz w:val="24"/>
                <w:szCs w:val="24"/>
                <w:lang w:val="sq-AL"/>
              </w:rPr>
              <w:t xml:space="preserve">rbimit përmbarimor gjyqësor privat, i reformuar tërësisht në vitin 2019, me qëllim konkurrimin denjësisht </w:t>
            </w:r>
            <w:r w:rsidR="00995493" w:rsidRPr="005157CB">
              <w:rPr>
                <w:rFonts w:ascii="Times New Roman" w:hAnsi="Times New Roman"/>
                <w:sz w:val="24"/>
                <w:szCs w:val="24"/>
                <w:lang w:val="sq-AL"/>
              </w:rPr>
              <w:t>me</w:t>
            </w:r>
            <w:r w:rsidR="00CD5F15" w:rsidRPr="005157CB">
              <w:rPr>
                <w:rFonts w:ascii="Times New Roman" w:hAnsi="Times New Roman"/>
                <w:sz w:val="24"/>
                <w:szCs w:val="24"/>
                <w:lang w:val="sq-AL"/>
              </w:rPr>
              <w:t xml:space="preserve"> shë</w:t>
            </w:r>
            <w:r w:rsidR="00995493" w:rsidRPr="005157CB">
              <w:rPr>
                <w:rFonts w:ascii="Times New Roman" w:hAnsi="Times New Roman"/>
                <w:sz w:val="24"/>
                <w:szCs w:val="24"/>
                <w:lang w:val="sq-AL"/>
              </w:rPr>
              <w:t xml:space="preserve">rbimin </w:t>
            </w:r>
            <w:r w:rsidR="00CD5F15" w:rsidRPr="005157CB">
              <w:rPr>
                <w:rFonts w:ascii="Times New Roman" w:hAnsi="Times New Roman"/>
                <w:sz w:val="24"/>
                <w:szCs w:val="24"/>
                <w:lang w:val="sq-AL"/>
              </w:rPr>
              <w:t xml:space="preserve">që ofrojnë këta të fundit. </w:t>
            </w:r>
          </w:p>
          <w:p w14:paraId="2A14BCC5" w14:textId="69DCC466" w:rsidR="00041EA0" w:rsidRPr="005157CB" w:rsidRDefault="00995493"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Ndryshimet ligjore në fjalë synojnë garantimin e motivimit të duhur të përmbaruesve gjyqësorë shtetërorë për ushtrimin e detyrave të tyre konform legjislacionit në fuqi dhe në mënyrë efektive</w:t>
            </w:r>
            <w:r w:rsidR="005770C7" w:rsidRPr="005157CB">
              <w:rPr>
                <w:rFonts w:ascii="Times New Roman" w:hAnsi="Times New Roman"/>
                <w:sz w:val="24"/>
                <w:szCs w:val="24"/>
                <w:lang w:val="sq-AL"/>
              </w:rPr>
              <w:t xml:space="preserve">, si dhe rregullimin e veprimtarisë së tyre në raport me përmbarimin gjyqësor privat. Në lidhje me këtë të fundit, sqarojmë se sipas ligjit nr. 26/2019, “Për shërbimin përmbarimor gjyqësor privat”, përmbaruesit gjyqësorë privatë ushtrojnë përpos funksionit të tyre parësor që lidhet me ekzekutimin e titujve ekzekutivë, edhe veprimtari dytësore që </w:t>
            </w:r>
            <w:r w:rsidR="00041EA0" w:rsidRPr="005157CB">
              <w:rPr>
                <w:rFonts w:ascii="Times New Roman" w:hAnsi="Times New Roman"/>
                <w:sz w:val="24"/>
                <w:szCs w:val="24"/>
                <w:lang w:val="sq-AL"/>
              </w:rPr>
              <w:t>përfshijnë:</w:t>
            </w:r>
          </w:p>
          <w:p w14:paraId="423AB1E3" w14:textId="20CC5751" w:rsidR="00041EA0" w:rsidRPr="005157CB" w:rsidRDefault="00041EA0" w:rsidP="008C707E">
            <w:pPr>
              <w:pStyle w:val="ListParagraph"/>
              <w:numPr>
                <w:ilvl w:val="0"/>
                <w:numId w:val="37"/>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kryerjen e njoftimit të akteve gjyqësore dhe dokumenteve zyrtare;</w:t>
            </w:r>
          </w:p>
          <w:p w14:paraId="54458E27" w14:textId="5256ACA3" w:rsidR="00041EA0" w:rsidRPr="005157CB" w:rsidRDefault="00041EA0" w:rsidP="008C707E">
            <w:pPr>
              <w:pStyle w:val="ListParagraph"/>
              <w:numPr>
                <w:ilvl w:val="0"/>
                <w:numId w:val="37"/>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njoftimin dhe kryerjen e mbledhjes së detyrimeve financiare me mirëkuptim, me kërkesë të të  interesuarve;</w:t>
            </w:r>
          </w:p>
          <w:p w14:paraId="302AD101" w14:textId="4EAB278C" w:rsidR="00041EA0" w:rsidRPr="005157CB" w:rsidRDefault="00041EA0" w:rsidP="008C707E">
            <w:pPr>
              <w:pStyle w:val="ListParagraph"/>
              <w:numPr>
                <w:ilvl w:val="0"/>
                <w:numId w:val="37"/>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kryerjen e konstatimeve të fakteve, sendeve dhe dukurive lehtësisht të verifikueshme, që nuk kërkojnë njohuri specifike teknike sipas legjislacionit në fuqi, me kërkesë të të interesuarve;</w:t>
            </w:r>
          </w:p>
          <w:p w14:paraId="4476F48A" w14:textId="16A17BE3" w:rsidR="00E052DE" w:rsidRPr="005157CB" w:rsidRDefault="00041EA0" w:rsidP="008C707E">
            <w:pPr>
              <w:pStyle w:val="ListParagraph"/>
              <w:numPr>
                <w:ilvl w:val="0"/>
                <w:numId w:val="37"/>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kryerjen e shitjes së sendeve në ankand publik me kërkesë të të interesuarve.</w:t>
            </w:r>
          </w:p>
          <w:p w14:paraId="229019FE" w14:textId="031EC586" w:rsidR="00E052DE" w:rsidRPr="005157CB" w:rsidRDefault="007135BA"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Ndërkohë për përmbaruesit gjyqësorë shtetërorë nuk parashikohet kryerja e veprimtarive të tilla, por vetëm ushtrimi i funksionit të ekzekutimit të</w:t>
            </w:r>
            <w:r w:rsidR="008C707E">
              <w:rPr>
                <w:rFonts w:ascii="Times New Roman" w:hAnsi="Times New Roman"/>
                <w:sz w:val="24"/>
                <w:szCs w:val="24"/>
                <w:lang w:val="sq-AL"/>
              </w:rPr>
              <w:t xml:space="preserve"> detyrueshëm të</w:t>
            </w:r>
            <w:r w:rsidRPr="005157CB">
              <w:rPr>
                <w:rFonts w:ascii="Times New Roman" w:hAnsi="Times New Roman"/>
                <w:sz w:val="24"/>
                <w:szCs w:val="24"/>
                <w:lang w:val="sq-AL"/>
              </w:rPr>
              <w:t xml:space="preserve"> titujve ekzekutivë</w:t>
            </w:r>
            <w:r w:rsidR="00B0671F" w:rsidRPr="005157CB">
              <w:rPr>
                <w:rFonts w:ascii="Times New Roman" w:hAnsi="Times New Roman"/>
                <w:sz w:val="24"/>
                <w:szCs w:val="24"/>
                <w:lang w:val="sq-AL"/>
              </w:rPr>
              <w:t>.</w:t>
            </w:r>
            <w:r w:rsidR="00541B44" w:rsidRPr="005157CB">
              <w:rPr>
                <w:rFonts w:ascii="Times New Roman" w:hAnsi="Times New Roman"/>
                <w:sz w:val="24"/>
                <w:szCs w:val="24"/>
                <w:lang w:val="sq-AL"/>
              </w:rPr>
              <w:t xml:space="preserve"> Në këtë drejtim është i domosdoshëm hartimi dhe miratimi i të gjithë kuadrit ligjor të nevojshëm për lejimin dhe ushtrimin e veprimtarive dytësore të mësipërme edhe nga përmbaruesit gjyqësorë shtetërorë, duke përcaktuar rregulla të veçanta që lidhen me ofrimin e këtyre shërbimeve. </w:t>
            </w:r>
          </w:p>
          <w:p w14:paraId="274C7C5F" w14:textId="0889CF11" w:rsidR="007135BA" w:rsidRPr="005157CB" w:rsidRDefault="00541B44"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Po kështu, ridimensionimi i përgjegjësisë disiplinore të përmbaruesit gjyqësor shtetëror nuk mund të realizohet vetëm nëpërmjet kryerjes së disa ndryshimeve</w:t>
            </w:r>
            <w:r w:rsidR="00860F52" w:rsidRPr="005157CB">
              <w:rPr>
                <w:rFonts w:ascii="Times New Roman" w:hAnsi="Times New Roman"/>
                <w:sz w:val="24"/>
                <w:szCs w:val="24"/>
                <w:lang w:val="sq-AL"/>
              </w:rPr>
              <w:t xml:space="preserve"> ligjore</w:t>
            </w:r>
            <w:r w:rsidRPr="005157CB">
              <w:rPr>
                <w:rFonts w:ascii="Times New Roman" w:hAnsi="Times New Roman"/>
                <w:sz w:val="24"/>
                <w:szCs w:val="24"/>
                <w:lang w:val="sq-AL"/>
              </w:rPr>
              <w:t xml:space="preserve">, pasi në thelb preket çdo përcaktim i ligjit në fuqi që rregullon këtë çështje thelbësore. </w:t>
            </w:r>
          </w:p>
          <w:p w14:paraId="58BF57A8" w14:textId="12BBFA89" w:rsidR="00E052DE" w:rsidRPr="005157CB" w:rsidRDefault="00860F52" w:rsidP="008C707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lastRenderedPageBreak/>
              <w:t xml:space="preserve">Për sa më sipër, </w:t>
            </w:r>
            <w:r w:rsidRPr="005157CB">
              <w:rPr>
                <w:rFonts w:ascii="Times New Roman" w:hAnsi="Times New Roman"/>
                <w:sz w:val="24"/>
                <w:szCs w:val="24"/>
              </w:rPr>
              <w:t>m</w:t>
            </w:r>
            <w:r w:rsidRPr="005157CB">
              <w:rPr>
                <w:rFonts w:ascii="Times New Roman" w:hAnsi="Times New Roman"/>
                <w:sz w:val="24"/>
                <w:szCs w:val="24"/>
                <w:lang w:val="sq-AL"/>
              </w:rPr>
              <w:t>iratimi i një ligji të ri është opsioni i preferuar pavarësisht se do të ndikojë në ekonomi si kosto në buxhetin e shtetit. Miratimi është i domosdoshëm për të arritur objektivat e vendosura, në raport dhe me llogaritjen e përfitimeve në buxhetin e shtetit apo ndikimet sociale.</w:t>
            </w:r>
            <w:r w:rsidR="00E052DE" w:rsidRPr="005157CB">
              <w:rPr>
                <w:rFonts w:ascii="Times New Roman" w:hAnsi="Times New Roman"/>
                <w:color w:val="000000" w:themeColor="text1"/>
                <w:sz w:val="24"/>
                <w:szCs w:val="24"/>
                <w:lang w:val="sq-AL"/>
              </w:rPr>
              <w:t xml:space="preserve"> </w:t>
            </w:r>
          </w:p>
        </w:tc>
      </w:tr>
      <w:tr w:rsidR="00E052DE" w:rsidRPr="00325A1F" w14:paraId="7ED6FC4A" w14:textId="77777777" w:rsidTr="00D7719D">
        <w:tc>
          <w:tcPr>
            <w:tcW w:w="9715" w:type="dxa"/>
            <w:gridSpan w:val="2"/>
          </w:tcPr>
          <w:p w14:paraId="6C42ED5D" w14:textId="77777777" w:rsidR="00E052DE" w:rsidRPr="005157CB" w:rsidRDefault="00E052DE" w:rsidP="00E052DE">
            <w:pPr>
              <w:jc w:val="both"/>
              <w:rPr>
                <w:rFonts w:ascii="Times New Roman" w:hAnsi="Times New Roman"/>
                <w:b/>
                <w:sz w:val="24"/>
                <w:szCs w:val="24"/>
                <w:lang w:val="sq-AL"/>
              </w:rPr>
            </w:pPr>
            <w:r w:rsidRPr="005157CB">
              <w:rPr>
                <w:rFonts w:ascii="Times New Roman" w:hAnsi="Times New Roman"/>
                <w:b/>
                <w:sz w:val="24"/>
                <w:szCs w:val="24"/>
                <w:lang w:val="sq-AL"/>
              </w:rPr>
              <w:lastRenderedPageBreak/>
              <w:t>ANALIZA E NDIKIMEVE</w:t>
            </w:r>
          </w:p>
          <w:p w14:paraId="5E98FCFF" w14:textId="77777777" w:rsidR="00E052DE" w:rsidRPr="005157CB" w:rsidRDefault="00E052DE" w:rsidP="00E052DE">
            <w:pPr>
              <w:jc w:val="both"/>
              <w:rPr>
                <w:rFonts w:ascii="Times New Roman" w:hAnsi="Times New Roman"/>
                <w:i/>
                <w:sz w:val="24"/>
                <w:szCs w:val="24"/>
                <w:lang w:val="sq-AL"/>
              </w:rPr>
            </w:pPr>
            <w:r w:rsidRPr="005157CB">
              <w:rPr>
                <w:rFonts w:ascii="Times New Roman" w:hAnsi="Times New Roman"/>
                <w:i/>
                <w:sz w:val="24"/>
                <w:szCs w:val="24"/>
                <w:lang w:val="sq-AL"/>
              </w:rPr>
              <w:t>Cilat janë ndikimet e opsionit të preferuar? Kjo duhet të përfshijë ndikimet me vlerë monetare të përcaktuar dhe ndikimet pa vlerë monetare të përcaktuar mbi buxhetin dhe bizneset.</w:t>
            </w:r>
          </w:p>
          <w:p w14:paraId="2E2EB85A" w14:textId="77777777" w:rsidR="00E052DE" w:rsidRPr="005157CB" w:rsidRDefault="00E052DE" w:rsidP="00E052DE">
            <w:pPr>
              <w:jc w:val="both"/>
              <w:rPr>
                <w:rFonts w:ascii="Times New Roman" w:hAnsi="Times New Roman"/>
                <w:sz w:val="24"/>
                <w:szCs w:val="24"/>
                <w:lang w:val="sq-AL"/>
              </w:rPr>
            </w:pPr>
          </w:p>
          <w:p w14:paraId="224B849D" w14:textId="38B85C58" w:rsidR="00057DD4"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Kosto në buxhetin e shtetit:</w:t>
            </w:r>
            <w:r w:rsidRPr="005157CB">
              <w:rPr>
                <w:rFonts w:ascii="Times New Roman" w:hAnsi="Times New Roman"/>
                <w:color w:val="000000" w:themeColor="text1"/>
                <w:sz w:val="24"/>
                <w:szCs w:val="24"/>
                <w:lang w:val="sq-AL"/>
              </w:rPr>
              <w:t>.</w:t>
            </w:r>
            <w:r w:rsidR="00360850" w:rsidRPr="005157CB">
              <w:rPr>
                <w:rFonts w:ascii="Times New Roman" w:hAnsi="Times New Roman"/>
                <w:color w:val="000000" w:themeColor="text1"/>
                <w:sz w:val="24"/>
                <w:szCs w:val="24"/>
                <w:lang w:val="sq-AL"/>
              </w:rPr>
              <w:t xml:space="preserve"> </w:t>
            </w:r>
            <w:r w:rsidRPr="005157CB">
              <w:rPr>
                <w:rFonts w:ascii="Times New Roman" w:hAnsi="Times New Roman"/>
                <w:sz w:val="24"/>
                <w:szCs w:val="24"/>
                <w:lang w:val="sq-AL"/>
              </w:rPr>
              <w:t>Përzgjedhja e opsionit të pref</w:t>
            </w:r>
            <w:r w:rsidR="00360850" w:rsidRPr="005157CB">
              <w:rPr>
                <w:rFonts w:ascii="Times New Roman" w:hAnsi="Times New Roman"/>
                <w:sz w:val="24"/>
                <w:szCs w:val="24"/>
                <w:lang w:val="sq-AL"/>
              </w:rPr>
              <w:t>eruar - opsioni 2, sjell ndikim</w:t>
            </w:r>
            <w:r w:rsidR="00F54E8D" w:rsidRPr="005157CB">
              <w:rPr>
                <w:rFonts w:ascii="Times New Roman" w:hAnsi="Times New Roman"/>
                <w:sz w:val="24"/>
                <w:szCs w:val="24"/>
                <w:lang w:val="sq-AL"/>
              </w:rPr>
              <w:t xml:space="preserve"> me vlerë monetare, </w:t>
            </w:r>
            <w:r w:rsidR="000A107B" w:rsidRPr="005157CB">
              <w:rPr>
                <w:rFonts w:ascii="Times New Roman" w:hAnsi="Times New Roman"/>
                <w:sz w:val="24"/>
                <w:szCs w:val="24"/>
                <w:lang w:val="sq-AL"/>
              </w:rPr>
              <w:t>në drejtim të fondeve monet</w:t>
            </w:r>
            <w:r w:rsidR="00797C69">
              <w:rPr>
                <w:rFonts w:ascii="Times New Roman" w:hAnsi="Times New Roman"/>
                <w:sz w:val="24"/>
                <w:szCs w:val="24"/>
                <w:lang w:val="sq-AL"/>
              </w:rPr>
              <w:t xml:space="preserve">are për përmirësimin e pagave </w:t>
            </w:r>
            <w:r w:rsidR="000A107B" w:rsidRPr="005157CB">
              <w:rPr>
                <w:rFonts w:ascii="Times New Roman" w:hAnsi="Times New Roman"/>
                <w:sz w:val="24"/>
                <w:szCs w:val="24"/>
                <w:lang w:val="sq-AL"/>
              </w:rPr>
              <w:t xml:space="preserve">të përmbaruesve gjyqësorë shtetërorë. Në këtë kontekst, synohet </w:t>
            </w:r>
            <w:r w:rsidR="00EF3C6B" w:rsidRPr="005157CB">
              <w:rPr>
                <w:rFonts w:ascii="Times New Roman" w:hAnsi="Times New Roman"/>
                <w:sz w:val="24"/>
                <w:szCs w:val="24"/>
                <w:lang w:val="sq-AL"/>
              </w:rPr>
              <w:t xml:space="preserve">që paga e përmbaruesit gjyqësor shtetëror të jetë e barabartë me 60% të pagës bruto fillestare të gjyqtarit që ushtron funksionet në gjykatat e juridiksionit të përgjithshëm të shkallës së parë, sipas legjislacionit në fuqi për statusin e gjyqtarëve. </w:t>
            </w:r>
            <w:r w:rsidR="00EF3C6B" w:rsidRPr="005157CB">
              <w:rPr>
                <w:rFonts w:ascii="Times New Roman" w:eastAsiaTheme="minorHAnsi" w:hAnsi="Times New Roman"/>
                <w:sz w:val="24"/>
                <w:szCs w:val="24"/>
                <w:lang w:val="sq-AL"/>
              </w:rPr>
              <w:t xml:space="preserve"> </w:t>
            </w:r>
            <w:r w:rsidR="00EF3C6B" w:rsidRPr="005157CB">
              <w:rPr>
                <w:rFonts w:ascii="Times New Roman" w:hAnsi="Times New Roman"/>
                <w:sz w:val="24"/>
                <w:szCs w:val="24"/>
                <w:lang w:val="sq-AL"/>
              </w:rPr>
              <w:t xml:space="preserve">Përcaktimi i pagës në raport me pagën që përfiton gjyqtari (60% të pagës që aktualisht merr gjyqtari) është vlerësuar si alternativë e përshtatshme për shkak të funksionit të përmbaruesit i cili është i lidhur në mënyrë të drejtpërdrejtë me sistemin e drejtësisë dhe me dhënien e saj (ekzekutimi i titujve ekzekutivë është hallka e fundit e rivendosjes në vend të të drejtës së fituar me vendim gjykate-procesi i rregullt ligjor). </w:t>
            </w:r>
            <w:r w:rsidR="0009308C" w:rsidRPr="005157CB">
              <w:rPr>
                <w:rFonts w:ascii="Times New Roman" w:hAnsi="Times New Roman"/>
                <w:sz w:val="24"/>
                <w:szCs w:val="24"/>
                <w:lang w:val="sq-AL"/>
              </w:rPr>
              <w:t>Përcaktimi i pagës së përmbaruesit gjyqësor shtetëror mbi bazën e pagës së gjyqtarit është një model i parë edhe në vende të tjera, si për shembull në Bullgari ku shpërblimi i një agjenti përmbarues shtetëror është e barabartë me 90 pë</w:t>
            </w:r>
            <w:r w:rsidR="00797C69">
              <w:rPr>
                <w:rFonts w:ascii="Times New Roman" w:hAnsi="Times New Roman"/>
                <w:sz w:val="24"/>
                <w:szCs w:val="24"/>
                <w:lang w:val="sq-AL"/>
              </w:rPr>
              <w:t>r</w:t>
            </w:r>
            <w:r w:rsidR="0009308C" w:rsidRPr="005157CB">
              <w:rPr>
                <w:rFonts w:ascii="Times New Roman" w:hAnsi="Times New Roman"/>
                <w:sz w:val="24"/>
                <w:szCs w:val="24"/>
                <w:lang w:val="sq-AL"/>
              </w:rPr>
              <w:t>qind të shpërblimit të gjyqtarit në gjykatën e rrethit.</w:t>
            </w:r>
          </w:p>
          <w:p w14:paraId="4630DB0B" w14:textId="68339FDA" w:rsidR="00057DD4" w:rsidRPr="005157CB" w:rsidRDefault="00057DD4" w:rsidP="00A66663">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Shpenzimet e personelit (</w:t>
            </w:r>
            <w:r w:rsidRPr="005157CB">
              <w:rPr>
                <w:rFonts w:ascii="Times New Roman" w:hAnsi="Times New Roman"/>
                <w:i/>
                <w:sz w:val="24"/>
                <w:szCs w:val="24"/>
                <w:lang w:val="sq-AL"/>
              </w:rPr>
              <w:t>paga dhe sigurime shoqërore</w:t>
            </w:r>
            <w:r w:rsidRPr="005157CB">
              <w:rPr>
                <w:rFonts w:ascii="Times New Roman" w:hAnsi="Times New Roman"/>
                <w:sz w:val="24"/>
                <w:szCs w:val="24"/>
                <w:lang w:val="sq-AL"/>
              </w:rPr>
              <w:t>) rriten në masën rreth  85,000,000 lekë, krahasuar me fondet e planifikuara të vitit 2022. Efektet financiare të përllogaritura nga ndryshimi i ligjit n</w:t>
            </w:r>
            <w:r w:rsidR="00555234" w:rsidRPr="005157CB">
              <w:rPr>
                <w:rFonts w:ascii="Times New Roman" w:hAnsi="Times New Roman"/>
                <w:sz w:val="24"/>
                <w:szCs w:val="24"/>
                <w:lang w:val="sq-AL"/>
              </w:rPr>
              <w:t>r. 8730, datë 18.01.2001, "Për organizimin dhe funksionimin e shërbimit përmbarimor g</w:t>
            </w:r>
            <w:r w:rsidRPr="005157CB">
              <w:rPr>
                <w:rFonts w:ascii="Times New Roman" w:hAnsi="Times New Roman"/>
                <w:sz w:val="24"/>
                <w:szCs w:val="24"/>
                <w:lang w:val="sq-AL"/>
              </w:rPr>
              <w:t>jyqësor", i ndryshua</w:t>
            </w:r>
            <w:r w:rsidR="0088505E" w:rsidRPr="005157CB">
              <w:rPr>
                <w:rFonts w:ascii="Times New Roman" w:hAnsi="Times New Roman"/>
                <w:sz w:val="24"/>
                <w:szCs w:val="24"/>
                <w:lang w:val="sq-AL"/>
              </w:rPr>
              <w:t>r, nuk janë parashikuar në PBA.</w:t>
            </w:r>
          </w:p>
          <w:p w14:paraId="488AAD3F" w14:textId="2242646A" w:rsidR="00E052DE" w:rsidRPr="005157CB" w:rsidRDefault="00057DD4" w:rsidP="00A66663">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Në këto kushte, Drejtoria e Përgjithshme e Përmbarimit do të realizojë kërkesën për fonde shtesë në fazën e dytë të PBA-së 2023-2025, duke kryer ndërhyrjet respektive. Në rast se nisma ligjore hyn në fuqi në fillim të vitit 2023, fondet do të miratohen me ligjin e buxhetit për vitin 2023.</w:t>
            </w:r>
            <w:r w:rsidR="00797C69">
              <w:rPr>
                <w:rFonts w:ascii="Times New Roman" w:hAnsi="Times New Roman"/>
                <w:sz w:val="24"/>
                <w:szCs w:val="24"/>
                <w:lang w:val="sq-AL"/>
              </w:rPr>
              <w:t xml:space="preserve"> Për vitin 2023 dhe 2024, fondet financiare për shpenzimet e personelit janë përllogaritur në tabelën përkatëse në seksionin vijues të këtij Raporti. </w:t>
            </w:r>
          </w:p>
          <w:p w14:paraId="2A3D2F3A" w14:textId="242AB8C1" w:rsidR="00E052DE" w:rsidRPr="005157CB" w:rsidRDefault="00E052DE" w:rsidP="00A66663">
            <w:pPr>
              <w:spacing w:after="240" w:line="276" w:lineRule="auto"/>
              <w:jc w:val="both"/>
              <w:rPr>
                <w:rFonts w:ascii="Times New Roman" w:hAnsi="Times New Roman"/>
                <w:sz w:val="24"/>
                <w:szCs w:val="24"/>
                <w:lang w:val="sq-AL"/>
              </w:rPr>
            </w:pPr>
            <w:r w:rsidRPr="005157CB">
              <w:rPr>
                <w:rFonts w:ascii="Times New Roman" w:hAnsi="Times New Roman"/>
                <w:b/>
                <w:color w:val="000000" w:themeColor="text1"/>
                <w:sz w:val="24"/>
                <w:szCs w:val="24"/>
                <w:lang w:val="sq-AL"/>
              </w:rPr>
              <w:t>Përfitime në buxhetin e shtetit:</w:t>
            </w:r>
            <w:r w:rsidRPr="005157CB">
              <w:rPr>
                <w:rFonts w:ascii="Times New Roman" w:hAnsi="Times New Roman"/>
                <w:color w:val="000000" w:themeColor="text1"/>
                <w:sz w:val="24"/>
                <w:szCs w:val="24"/>
                <w:lang w:val="sq-AL"/>
              </w:rPr>
              <w:t xml:space="preserve"> Me anë të kësaj nisme synohet </w:t>
            </w:r>
            <w:r w:rsidRPr="005157CB">
              <w:rPr>
                <w:rFonts w:ascii="Times New Roman" w:hAnsi="Times New Roman"/>
                <w:sz w:val="24"/>
                <w:szCs w:val="24"/>
                <w:lang w:val="sq-AL"/>
              </w:rPr>
              <w:t xml:space="preserve">përmirësimi i </w:t>
            </w:r>
            <w:r w:rsidR="00E65A6E" w:rsidRPr="005157CB">
              <w:rPr>
                <w:rFonts w:ascii="Times New Roman" w:hAnsi="Times New Roman"/>
                <w:sz w:val="24"/>
                <w:szCs w:val="24"/>
                <w:lang w:val="sq-AL"/>
              </w:rPr>
              <w:t>Shërbimit Përmbarimor Gjyqësor Shtetëror, duke inkurajuar qytetarët e Republikës së Shqipërisë për të zgjedhur shërbimin përmbarimor gjyqësor shtetëror për</w:t>
            </w:r>
            <w:r w:rsidR="00B74B4F">
              <w:rPr>
                <w:rFonts w:ascii="Times New Roman" w:hAnsi="Times New Roman"/>
                <w:sz w:val="24"/>
                <w:szCs w:val="24"/>
                <w:lang w:val="sq-AL"/>
              </w:rPr>
              <w:t xml:space="preserve"> të ekzekutuar dosjet gjyqësore</w:t>
            </w:r>
            <w:r w:rsidR="00E65A6E" w:rsidRPr="005157CB">
              <w:rPr>
                <w:rFonts w:ascii="Times New Roman" w:hAnsi="Times New Roman"/>
                <w:sz w:val="24"/>
                <w:szCs w:val="24"/>
                <w:lang w:val="sq-AL"/>
              </w:rPr>
              <w:t xml:space="preserve"> çka përkthehet në më shumë të ardhura shtetërore nga kryerja e veprimtarisë shtetërore. E njëjta logjikë është e vlefshme edhe për të ardhurat që do të sigurohen nga veprimtaritë dytësore që do të kryhen nga përmbaruesit gjyqësorë shtetërorë</w:t>
            </w:r>
            <w:r w:rsidR="0038580A" w:rsidRPr="005157CB">
              <w:rPr>
                <w:rFonts w:ascii="Times New Roman" w:hAnsi="Times New Roman"/>
                <w:sz w:val="24"/>
                <w:szCs w:val="24"/>
                <w:lang w:val="sq-AL"/>
              </w:rPr>
              <w:t xml:space="preserve">, nëpërmjet kompetencave që nisma e re ligjore synon t’u japë. </w:t>
            </w:r>
          </w:p>
          <w:p w14:paraId="084995D2" w14:textId="77777777" w:rsidR="00E052DE" w:rsidRPr="005157CB" w:rsidRDefault="00E052DE" w:rsidP="00A66663">
            <w:pPr>
              <w:spacing w:after="240" w:line="276" w:lineRule="auto"/>
              <w:jc w:val="both"/>
              <w:rPr>
                <w:rFonts w:ascii="Times New Roman" w:hAnsi="Times New Roman"/>
                <w:b/>
                <w:color w:val="000000"/>
                <w:sz w:val="24"/>
                <w:szCs w:val="24"/>
                <w:lang w:val="sq-AL"/>
              </w:rPr>
            </w:pPr>
            <w:r w:rsidRPr="005157CB">
              <w:rPr>
                <w:rFonts w:ascii="Times New Roman" w:hAnsi="Times New Roman"/>
                <w:b/>
                <w:color w:val="000000"/>
                <w:sz w:val="24"/>
                <w:szCs w:val="24"/>
                <w:lang w:val="sq-AL"/>
              </w:rPr>
              <w:t>Ndikimet sociale:</w:t>
            </w:r>
          </w:p>
          <w:p w14:paraId="20BB9FD5" w14:textId="5F17961F" w:rsidR="0038580A" w:rsidRPr="005157CB" w:rsidRDefault="0038580A" w:rsidP="00A66663">
            <w:pPr>
              <w:pStyle w:val="ListParagraph"/>
              <w:numPr>
                <w:ilvl w:val="0"/>
                <w:numId w:val="38"/>
              </w:numPr>
              <w:spacing w:after="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  </w:t>
            </w:r>
            <w:r w:rsidR="00451E57" w:rsidRPr="005157CB">
              <w:rPr>
                <w:rFonts w:ascii="Times New Roman" w:hAnsi="Times New Roman"/>
                <w:color w:val="000000"/>
                <w:sz w:val="24"/>
                <w:szCs w:val="24"/>
                <w:lang w:val="sq-AL"/>
              </w:rPr>
              <w:t>Rritje</w:t>
            </w:r>
            <w:r w:rsidR="00E052DE" w:rsidRPr="005157CB">
              <w:rPr>
                <w:rFonts w:ascii="Times New Roman" w:hAnsi="Times New Roman"/>
                <w:color w:val="000000"/>
                <w:sz w:val="24"/>
                <w:szCs w:val="24"/>
                <w:lang w:val="sq-AL"/>
              </w:rPr>
              <w:t xml:space="preserve"> e standardeve</w:t>
            </w:r>
            <w:r w:rsidRPr="005157CB">
              <w:rPr>
                <w:rFonts w:ascii="Times New Roman" w:hAnsi="Times New Roman"/>
                <w:color w:val="000000"/>
                <w:sz w:val="24"/>
                <w:szCs w:val="24"/>
                <w:lang w:val="sq-AL"/>
              </w:rPr>
              <w:t xml:space="preserve"> në ushtrimin e veprimtarisë përmbarimore gjyqësore shtetërore nga </w:t>
            </w:r>
            <w:r w:rsidR="00C54207" w:rsidRPr="005157CB">
              <w:rPr>
                <w:rFonts w:ascii="Times New Roman" w:hAnsi="Times New Roman"/>
                <w:color w:val="000000"/>
                <w:sz w:val="24"/>
                <w:szCs w:val="24"/>
                <w:lang w:val="sq-AL"/>
              </w:rPr>
              <w:t>profesionistët e fushës;</w:t>
            </w:r>
          </w:p>
          <w:p w14:paraId="117FC1C4" w14:textId="77B529FA" w:rsidR="0038580A" w:rsidRPr="005157CB" w:rsidRDefault="0038580A" w:rsidP="00A66663">
            <w:pPr>
              <w:pStyle w:val="ListParagraph"/>
              <w:numPr>
                <w:ilvl w:val="0"/>
                <w:numId w:val="38"/>
              </w:numPr>
              <w:spacing w:after="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  </w:t>
            </w:r>
            <w:r w:rsidR="00E052DE" w:rsidRPr="005157CB">
              <w:rPr>
                <w:rFonts w:ascii="Times New Roman" w:hAnsi="Times New Roman"/>
                <w:color w:val="000000"/>
                <w:sz w:val="24"/>
                <w:szCs w:val="24"/>
                <w:lang w:val="sq-AL"/>
              </w:rPr>
              <w:t xml:space="preserve">Rritja e ndërgjegjësimit të shoqërisë për </w:t>
            </w:r>
            <w:r w:rsidR="00C54207" w:rsidRPr="005157CB">
              <w:rPr>
                <w:rFonts w:ascii="Times New Roman" w:hAnsi="Times New Roman"/>
                <w:color w:val="000000"/>
                <w:sz w:val="24"/>
                <w:szCs w:val="24"/>
                <w:lang w:val="sq-AL"/>
              </w:rPr>
              <w:t>shërbimin përmbarimor gjyqësor të ofruar nga institucionet shtetërore (zyrat përmbarimore vendore);</w:t>
            </w:r>
          </w:p>
          <w:p w14:paraId="7C1860D1" w14:textId="59708DBB" w:rsidR="00451E57" w:rsidRPr="005157CB" w:rsidRDefault="00451E57" w:rsidP="00A66663">
            <w:pPr>
              <w:pStyle w:val="ListParagraph"/>
              <w:numPr>
                <w:ilvl w:val="0"/>
                <w:numId w:val="38"/>
              </w:numPr>
              <w:spacing w:after="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  Rritja e efektshmërisë në ekzekutimin </w:t>
            </w:r>
            <w:r w:rsidR="00B74B4F">
              <w:rPr>
                <w:rFonts w:ascii="Times New Roman" w:hAnsi="Times New Roman"/>
                <w:color w:val="000000"/>
                <w:sz w:val="24"/>
                <w:szCs w:val="24"/>
                <w:lang w:val="sq-AL"/>
              </w:rPr>
              <w:t>e detyrueshëm të</w:t>
            </w:r>
            <w:r w:rsidRPr="005157CB">
              <w:rPr>
                <w:rFonts w:ascii="Times New Roman" w:hAnsi="Times New Roman"/>
                <w:color w:val="000000"/>
                <w:sz w:val="24"/>
                <w:szCs w:val="24"/>
                <w:lang w:val="sq-AL"/>
              </w:rPr>
              <w:t xml:space="preserve"> titujve ekzekutivë nga shërbimi përmbarimor shtetë</w:t>
            </w:r>
            <w:r w:rsidR="00422225" w:rsidRPr="005157CB">
              <w:rPr>
                <w:rFonts w:ascii="Times New Roman" w:hAnsi="Times New Roman"/>
                <w:color w:val="000000"/>
                <w:sz w:val="24"/>
                <w:szCs w:val="24"/>
                <w:lang w:val="sq-AL"/>
              </w:rPr>
              <w:t xml:space="preserve">ror; </w:t>
            </w:r>
          </w:p>
          <w:p w14:paraId="15434ABD" w14:textId="06789EED" w:rsidR="008A115F" w:rsidRPr="005157CB" w:rsidRDefault="0038580A" w:rsidP="00A66663">
            <w:pPr>
              <w:pStyle w:val="ListParagraph"/>
              <w:numPr>
                <w:ilvl w:val="0"/>
                <w:numId w:val="38"/>
              </w:numPr>
              <w:spacing w:after="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lastRenderedPageBreak/>
              <w:t xml:space="preserve">  </w:t>
            </w:r>
            <w:r w:rsidR="00C54207" w:rsidRPr="005157CB">
              <w:rPr>
                <w:rFonts w:ascii="Times New Roman" w:hAnsi="Times New Roman"/>
                <w:color w:val="000000"/>
                <w:sz w:val="24"/>
                <w:szCs w:val="24"/>
                <w:lang w:val="sq-AL"/>
              </w:rPr>
              <w:t>Rritja e besimit të</w:t>
            </w:r>
            <w:r w:rsidR="008A115F" w:rsidRPr="005157CB">
              <w:rPr>
                <w:rFonts w:ascii="Times New Roman" w:hAnsi="Times New Roman"/>
                <w:color w:val="000000"/>
                <w:sz w:val="24"/>
                <w:szCs w:val="24"/>
                <w:lang w:val="sq-AL"/>
              </w:rPr>
              <w:t xml:space="preserve"> publikut në rolin e përmbaruesve gjyqësorë shtetërorë </w:t>
            </w:r>
            <w:r w:rsidR="00836D2C" w:rsidRPr="005157CB">
              <w:rPr>
                <w:rFonts w:ascii="Times New Roman" w:hAnsi="Times New Roman"/>
                <w:color w:val="000000"/>
                <w:sz w:val="24"/>
                <w:szCs w:val="24"/>
                <w:lang w:val="sq-AL"/>
              </w:rPr>
              <w:t xml:space="preserve">dhe aftësitë e tyre për të ekzekutuar titujt ekzekutivë duke kryer të gjitha veprimet e nevojshme ligjore procedurale për këtë qëllim, e cila passjell rritjen e besimit në sistemin e drejtësisë shqiptare. </w:t>
            </w:r>
          </w:p>
          <w:p w14:paraId="21135CAC" w14:textId="38E051A2" w:rsidR="00E052DE" w:rsidRPr="005157CB" w:rsidRDefault="00E052DE" w:rsidP="00836D2C">
            <w:pPr>
              <w:jc w:val="both"/>
              <w:rPr>
                <w:rFonts w:ascii="Times New Roman" w:hAnsi="Times New Roman"/>
                <w:i/>
                <w:sz w:val="24"/>
                <w:szCs w:val="24"/>
              </w:rPr>
            </w:pPr>
          </w:p>
        </w:tc>
      </w:tr>
      <w:tr w:rsidR="00E052DE" w:rsidRPr="00325A1F" w14:paraId="62F2DF3F" w14:textId="77777777" w:rsidTr="00D7719D">
        <w:tc>
          <w:tcPr>
            <w:tcW w:w="9715" w:type="dxa"/>
            <w:gridSpan w:val="2"/>
          </w:tcPr>
          <w:p w14:paraId="18999081"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lastRenderedPageBreak/>
              <w:t xml:space="preserve">ARSYETIMI I OPSIONIT TË PREFERUAR </w:t>
            </w:r>
          </w:p>
          <w:p w14:paraId="7B73C018" w14:textId="2938FC07" w:rsidR="00E052DE" w:rsidRPr="005157CB" w:rsidRDefault="00E052DE" w:rsidP="00E052DE">
            <w:pPr>
              <w:spacing w:line="276" w:lineRule="auto"/>
              <w:jc w:val="both"/>
              <w:rPr>
                <w:rFonts w:ascii="Times New Roman" w:hAnsi="Times New Roman"/>
                <w:i/>
                <w:sz w:val="24"/>
                <w:szCs w:val="24"/>
              </w:rPr>
            </w:pPr>
            <w:r w:rsidRPr="005157CB">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5157CB">
              <w:rPr>
                <w:rFonts w:ascii="Times New Roman" w:hAnsi="Times New Roman"/>
                <w:i/>
                <w:sz w:val="24"/>
                <w:szCs w:val="24"/>
              </w:rPr>
              <w:instrText xml:space="preserve"> FORMTEXT </w:instrText>
            </w:r>
            <w:r w:rsidRPr="005157CB">
              <w:rPr>
                <w:i/>
                <w:szCs w:val="24"/>
              </w:rPr>
            </w:r>
            <w:r w:rsidRPr="005157CB">
              <w:rPr>
                <w:i/>
                <w:szCs w:val="24"/>
              </w:rPr>
              <w:fldChar w:fldCharType="separate"/>
            </w:r>
            <w:r w:rsidRPr="005157CB">
              <w:rPr>
                <w:rFonts w:ascii="Times New Roman" w:hAnsi="Times New Roman"/>
                <w:i/>
                <w:noProof/>
                <w:sz w:val="24"/>
                <w:szCs w:val="24"/>
              </w:rPr>
              <w:t>Shpjegoni arsyet për zgjedhjen e opsionit të preferuar. Ju lutemi jepni nëse është e mundur koston dhe përfitimin me vlerë të përcaktuar monetare. (jo më shumë se 7 rreshta)</w:t>
            </w:r>
            <w:r w:rsidRPr="005157CB">
              <w:rPr>
                <w:i/>
                <w:szCs w:val="24"/>
              </w:rPr>
              <w:fldChar w:fldCharType="end"/>
            </w:r>
          </w:p>
          <w:p w14:paraId="0A29565D" w14:textId="0BACE6F8" w:rsidR="00E052DE" w:rsidRPr="005157CB" w:rsidRDefault="00E052DE" w:rsidP="00E052DE">
            <w:pPr>
              <w:spacing w:line="276" w:lineRule="auto"/>
              <w:jc w:val="both"/>
              <w:rPr>
                <w:rFonts w:ascii="Times New Roman" w:hAnsi="Times New Roman"/>
                <w:i/>
                <w:sz w:val="24"/>
                <w:szCs w:val="24"/>
              </w:rPr>
            </w:pPr>
          </w:p>
          <w:p w14:paraId="1DB7C08D" w14:textId="16D331D7" w:rsidR="00CA5B6B" w:rsidRPr="005157CB" w:rsidRDefault="00E052DE" w:rsidP="00B74B4F">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Pas shqyrtimit të alternativave, opsioni i preferuar</w:t>
            </w:r>
            <w:r w:rsidR="006E33D5" w:rsidRPr="005157CB">
              <w:rPr>
                <w:rFonts w:ascii="Times New Roman" w:hAnsi="Times New Roman"/>
                <w:sz w:val="24"/>
                <w:szCs w:val="24"/>
                <w:lang w:val="sq-AL"/>
              </w:rPr>
              <w:t xml:space="preserve"> përzgjidhet opsioni 2 - hartimi dhe propozimi </w:t>
            </w:r>
            <w:r w:rsidRPr="005157CB">
              <w:rPr>
                <w:rFonts w:ascii="Times New Roman" w:hAnsi="Times New Roman"/>
                <w:sz w:val="24"/>
                <w:szCs w:val="24"/>
                <w:lang w:val="sq-AL"/>
              </w:rPr>
              <w:t xml:space="preserve">i një ligji të ri që ka për qëllim </w:t>
            </w:r>
            <w:r w:rsidR="006E33D5" w:rsidRPr="005157CB">
              <w:rPr>
                <w:rFonts w:ascii="Times New Roman" w:hAnsi="Times New Roman"/>
                <w:sz w:val="24"/>
                <w:szCs w:val="24"/>
                <w:lang w:val="sq-AL"/>
              </w:rPr>
              <w:t>të rregullojë çështjet thelbësore të organizimit dhe funksionimit të këtij shërbimi, duke vendosur parashikime mbi kushtet që duhet të përmbushin individët për të ushtruar detyrën e përmbaruesit gjyqësor shtetëror, statusin, vlerësimin etik dhe profesional të tyre, procedimin disiplinor, përfundimin e marrëdhënies në shërbimin përmbarimor gjyqësor shtetëror, si dhe marrëdhëniet me institucionet shtetërore dhe me subjektet e tjera publikë dhe privatë.</w:t>
            </w:r>
            <w:r w:rsidR="00CA5B6B" w:rsidRPr="005157CB">
              <w:rPr>
                <w:rFonts w:ascii="Times New Roman" w:hAnsi="Times New Roman"/>
                <w:sz w:val="24"/>
                <w:szCs w:val="24"/>
                <w:lang w:val="sq-AL"/>
              </w:rPr>
              <w:t xml:space="preserve"> </w:t>
            </w:r>
          </w:p>
          <w:p w14:paraId="03257B3C" w14:textId="545AF7A7" w:rsidR="00E052DE" w:rsidRPr="005157CB" w:rsidRDefault="00CA5B6B" w:rsidP="00B74B4F">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Arsyet </w:t>
            </w:r>
            <w:r w:rsidR="00A90D45" w:rsidRPr="005157CB">
              <w:rPr>
                <w:rFonts w:ascii="Times New Roman" w:hAnsi="Times New Roman"/>
                <w:sz w:val="24"/>
                <w:szCs w:val="24"/>
                <w:lang w:val="sq-AL"/>
              </w:rPr>
              <w:t xml:space="preserve">kryesore </w:t>
            </w:r>
            <w:r w:rsidRPr="005157CB">
              <w:rPr>
                <w:rFonts w:ascii="Times New Roman" w:hAnsi="Times New Roman"/>
                <w:sz w:val="24"/>
                <w:szCs w:val="24"/>
                <w:lang w:val="sq-AL"/>
              </w:rPr>
              <w:t>për zgjedhjen e këtij opsioni renditen si vijon:</w:t>
            </w:r>
          </w:p>
          <w:p w14:paraId="49EB5819" w14:textId="5E8E4094" w:rsidR="00CA5B6B" w:rsidRPr="005157CB" w:rsidRDefault="00CA5B6B" w:rsidP="00B74B4F">
            <w:pPr>
              <w:pStyle w:val="ListParagraph"/>
              <w:numPr>
                <w:ilvl w:val="0"/>
                <w:numId w:val="39"/>
              </w:numPr>
              <w:spacing w:after="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rritja e cilësisë së ekzekutimit nga shërbimi përmbarimor gjyqësor shtetëror;</w:t>
            </w:r>
          </w:p>
          <w:p w14:paraId="591462F4" w14:textId="6FB0B37A" w:rsidR="00CA5B6B" w:rsidRPr="005157CB" w:rsidRDefault="00CA5B6B" w:rsidP="00B74B4F">
            <w:pPr>
              <w:pStyle w:val="ListParagraph"/>
              <w:numPr>
                <w:ilvl w:val="0"/>
                <w:numId w:val="39"/>
              </w:numPr>
              <w:spacing w:after="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rritja e performancës profesionale të përmbaruesit gjyqësor shtetëror;</w:t>
            </w:r>
          </w:p>
          <w:p w14:paraId="3F0A71AF" w14:textId="0500D5A3" w:rsidR="00CA5B6B" w:rsidRPr="005157CB" w:rsidRDefault="00CA5B6B" w:rsidP="00B74B4F">
            <w:pPr>
              <w:pStyle w:val="ListParagraph"/>
              <w:numPr>
                <w:ilvl w:val="0"/>
                <w:numId w:val="39"/>
              </w:numPr>
              <w:spacing w:after="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garantimi i trajtimit financiar në masë të mjaftueshme me natyrën, përgjegjësitë e funksionit dhe shkallën e vështirësisë</w:t>
            </w:r>
            <w:r w:rsidR="00A90D45" w:rsidRPr="005157CB">
              <w:rPr>
                <w:rFonts w:ascii="Times New Roman" w:hAnsi="Times New Roman"/>
                <w:sz w:val="24"/>
                <w:szCs w:val="24"/>
                <w:lang w:val="sq-AL"/>
              </w:rPr>
              <w:t xml:space="preserve"> së ushtrimit të veprimtarisë përmbarimore</w:t>
            </w:r>
            <w:r w:rsidRPr="005157CB">
              <w:rPr>
                <w:rFonts w:ascii="Times New Roman" w:hAnsi="Times New Roman"/>
                <w:sz w:val="24"/>
                <w:szCs w:val="24"/>
                <w:lang w:val="sq-AL"/>
              </w:rPr>
              <w:t>;</w:t>
            </w:r>
          </w:p>
          <w:p w14:paraId="41E542F6" w14:textId="2580C311" w:rsidR="00CA5B6B" w:rsidRPr="005157CB" w:rsidRDefault="00CA5B6B" w:rsidP="00B74B4F">
            <w:pPr>
              <w:pStyle w:val="ListParagraph"/>
              <w:numPr>
                <w:ilvl w:val="0"/>
                <w:numId w:val="39"/>
              </w:numPr>
              <w:spacing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   garantimi i një kuadri të drejtash dhe llogaridhënie që synon n</w:t>
            </w:r>
            <w:r w:rsidR="00B74B4F">
              <w:rPr>
                <w:rFonts w:ascii="Times New Roman" w:hAnsi="Times New Roman"/>
                <w:sz w:val="24"/>
                <w:szCs w:val="24"/>
                <w:lang w:val="sq-AL"/>
              </w:rPr>
              <w:t xml:space="preserve">jë shërbim përmbarimor gjyqësor </w:t>
            </w:r>
            <w:r w:rsidRPr="005157CB">
              <w:rPr>
                <w:rFonts w:ascii="Times New Roman" w:hAnsi="Times New Roman"/>
                <w:sz w:val="24"/>
                <w:szCs w:val="24"/>
                <w:lang w:val="sq-AL"/>
              </w:rPr>
              <w:t>shtetëror të përgjegjshëm, profesional, të besueshëm dhe të orientuar drejt shërbimit ndaj qytetarit.</w:t>
            </w:r>
          </w:p>
          <w:p w14:paraId="042DEB59" w14:textId="46A4554D" w:rsidR="00FE5369" w:rsidRPr="005157CB" w:rsidRDefault="00FE5369" w:rsidP="00B74B4F">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Miratimi i një ligji të ri, duhet të bëhet edhe për të shmangur ndërhyrjet e shpeshta në ligjin ekzistues si dhe duke qenë se ndryshimet e propozuara prekin më shumë se 70% të ligjit ekzistues.</w:t>
            </w:r>
          </w:p>
          <w:p w14:paraId="64C89394" w14:textId="3BF844F6" w:rsidR="001F4493" w:rsidRPr="005157CB" w:rsidRDefault="00FF4810" w:rsidP="00B74B4F">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Kostot monetare për shpenzimet e personelit (</w:t>
            </w:r>
            <w:r w:rsidRPr="005157CB">
              <w:rPr>
                <w:rFonts w:ascii="Times New Roman" w:hAnsi="Times New Roman"/>
                <w:i/>
                <w:sz w:val="24"/>
                <w:szCs w:val="24"/>
                <w:lang w:val="sq-AL"/>
              </w:rPr>
              <w:t>paga dhe sigurime shoqërore</w:t>
            </w:r>
            <w:r w:rsidRPr="005157CB">
              <w:rPr>
                <w:rFonts w:ascii="Times New Roman" w:hAnsi="Times New Roman"/>
                <w:sz w:val="24"/>
                <w:szCs w:val="24"/>
                <w:lang w:val="sq-AL"/>
              </w:rPr>
              <w:t xml:space="preserve">) </w:t>
            </w:r>
            <w:r w:rsidRPr="005157CB">
              <w:rPr>
                <w:rFonts w:ascii="Times New Roman" w:hAnsi="Times New Roman"/>
                <w:bCs/>
                <w:sz w:val="24"/>
                <w:szCs w:val="24"/>
                <w:lang w:val="sq-AL"/>
              </w:rPr>
              <w:t>rriten në masën rreth  85,000,000 lekë, </w:t>
            </w:r>
            <w:r w:rsidRPr="005157CB">
              <w:rPr>
                <w:rFonts w:ascii="Times New Roman" w:hAnsi="Times New Roman"/>
                <w:sz w:val="24"/>
                <w:szCs w:val="24"/>
                <w:lang w:val="sq-AL"/>
              </w:rPr>
              <w:t>krahasuar me fondet e planifikuara të vitit 2022, të cilat do të përballohen nëpërmjet përfshirjes së tyre në PBA 2023-2025, ose në ligjin e buxhetit për vitin 2023 nëse ligji miratohet dhe hyn në fuqi në vitin 2023 (</w:t>
            </w:r>
            <w:r w:rsidRPr="005157CB">
              <w:rPr>
                <w:rFonts w:ascii="Times New Roman" w:hAnsi="Times New Roman"/>
                <w:i/>
                <w:sz w:val="24"/>
                <w:szCs w:val="24"/>
                <w:lang w:val="sq-AL"/>
              </w:rPr>
              <w:t xml:space="preserve">në varësi të ecurisë </w:t>
            </w:r>
            <w:r w:rsidR="003D15FF" w:rsidRPr="005157CB">
              <w:rPr>
                <w:rFonts w:ascii="Times New Roman" w:hAnsi="Times New Roman"/>
                <w:i/>
                <w:sz w:val="24"/>
                <w:szCs w:val="24"/>
                <w:lang w:val="sq-AL"/>
              </w:rPr>
              <w:t>së këtij projektligji</w:t>
            </w:r>
            <w:r w:rsidR="003D15FF" w:rsidRPr="005157CB">
              <w:rPr>
                <w:rFonts w:ascii="Times New Roman" w:hAnsi="Times New Roman"/>
                <w:sz w:val="24"/>
                <w:szCs w:val="24"/>
                <w:lang w:val="sq-AL"/>
              </w:rPr>
              <w:t xml:space="preserve">). </w:t>
            </w:r>
          </w:p>
          <w:tbl>
            <w:tblPr>
              <w:tblStyle w:val="GridTable1Light"/>
              <w:tblW w:w="0" w:type="auto"/>
              <w:tblLayout w:type="fixed"/>
              <w:tblLook w:val="04A0" w:firstRow="1" w:lastRow="0" w:firstColumn="1" w:lastColumn="0" w:noHBand="0" w:noVBand="1"/>
            </w:tblPr>
            <w:tblGrid>
              <w:gridCol w:w="2372"/>
              <w:gridCol w:w="2372"/>
              <w:gridCol w:w="2372"/>
              <w:gridCol w:w="2373"/>
            </w:tblGrid>
            <w:tr w:rsidR="008B7C11" w:rsidRPr="005157CB" w14:paraId="35BF03A7" w14:textId="77777777" w:rsidTr="008B7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13198A1F" w14:textId="77777777" w:rsidR="008B7C11" w:rsidRPr="005157CB" w:rsidRDefault="008B7C11" w:rsidP="00965DE0">
                  <w:pPr>
                    <w:framePr w:hSpace="187" w:wrap="around" w:vAnchor="page" w:hAnchor="margin" w:y="1758"/>
                    <w:spacing w:before="240" w:after="240" w:line="276" w:lineRule="auto"/>
                    <w:jc w:val="both"/>
                    <w:rPr>
                      <w:szCs w:val="24"/>
                      <w:lang w:val="sq-AL"/>
                    </w:rPr>
                  </w:pPr>
                  <w:r w:rsidRPr="005157CB">
                    <w:rPr>
                      <w:szCs w:val="24"/>
                      <w:lang w:val="sq-AL"/>
                    </w:rPr>
                    <w:t>Periudha kohore</w:t>
                  </w:r>
                </w:p>
              </w:tc>
              <w:tc>
                <w:tcPr>
                  <w:tcW w:w="2372" w:type="dxa"/>
                </w:tcPr>
                <w:p w14:paraId="55D4847A" w14:textId="73EE5E1B" w:rsidR="008B7C11" w:rsidRPr="005157CB" w:rsidRDefault="008B7C11" w:rsidP="00965DE0">
                  <w:pPr>
                    <w:framePr w:hSpace="187" w:wrap="around" w:vAnchor="page" w:hAnchor="margin" w:y="1758"/>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szCs w:val="24"/>
                      <w:lang w:val="sq-AL"/>
                    </w:rPr>
                  </w:pPr>
                  <w:r w:rsidRPr="005157CB">
                    <w:rPr>
                      <w:szCs w:val="24"/>
                      <w:lang w:val="sq-AL"/>
                    </w:rPr>
                    <w:t>2022</w:t>
                  </w:r>
                </w:p>
              </w:tc>
              <w:tc>
                <w:tcPr>
                  <w:tcW w:w="2372" w:type="dxa"/>
                </w:tcPr>
                <w:p w14:paraId="54EB2585" w14:textId="0B6ED271" w:rsidR="008B7C11" w:rsidRPr="005157CB" w:rsidRDefault="008B7C11" w:rsidP="00965DE0">
                  <w:pPr>
                    <w:framePr w:hSpace="187" w:wrap="around" w:vAnchor="page" w:hAnchor="margin" w:y="1758"/>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szCs w:val="24"/>
                      <w:lang w:val="sq-AL"/>
                    </w:rPr>
                  </w:pPr>
                  <w:r w:rsidRPr="005157CB">
                    <w:rPr>
                      <w:szCs w:val="24"/>
                      <w:lang w:val="sq-AL"/>
                    </w:rPr>
                    <w:t>2023</w:t>
                  </w:r>
                </w:p>
              </w:tc>
              <w:tc>
                <w:tcPr>
                  <w:tcW w:w="2373" w:type="dxa"/>
                </w:tcPr>
                <w:p w14:paraId="5C0B3A0E" w14:textId="193A2253" w:rsidR="008B7C11" w:rsidRPr="005157CB" w:rsidRDefault="008B7C11" w:rsidP="00965DE0">
                  <w:pPr>
                    <w:framePr w:hSpace="187" w:wrap="around" w:vAnchor="page" w:hAnchor="margin" w:y="1758"/>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szCs w:val="24"/>
                      <w:lang w:val="sq-AL"/>
                    </w:rPr>
                  </w:pPr>
                  <w:r w:rsidRPr="005157CB">
                    <w:rPr>
                      <w:szCs w:val="24"/>
                      <w:lang w:val="sq-AL"/>
                    </w:rPr>
                    <w:t>2024</w:t>
                  </w:r>
                </w:p>
              </w:tc>
            </w:tr>
            <w:tr w:rsidR="008B7C11" w:rsidRPr="005157CB" w14:paraId="1E1D1F02" w14:textId="77777777" w:rsidTr="008B7C11">
              <w:tc>
                <w:tcPr>
                  <w:cnfStyle w:val="001000000000" w:firstRow="0" w:lastRow="0" w:firstColumn="1" w:lastColumn="0" w:oddVBand="0" w:evenVBand="0" w:oddHBand="0" w:evenHBand="0" w:firstRowFirstColumn="0" w:firstRowLastColumn="0" w:lastRowFirstColumn="0" w:lastRowLastColumn="0"/>
                  <w:tcW w:w="2372" w:type="dxa"/>
                </w:tcPr>
                <w:p w14:paraId="7BFBEBF7" w14:textId="41BBD53F" w:rsidR="008B7C11" w:rsidRPr="005157CB" w:rsidRDefault="008B7C11" w:rsidP="00965DE0">
                  <w:pPr>
                    <w:framePr w:hSpace="187" w:wrap="around" w:vAnchor="page" w:hAnchor="margin" w:y="1758"/>
                    <w:spacing w:before="240" w:after="240" w:line="276" w:lineRule="auto"/>
                    <w:jc w:val="both"/>
                    <w:rPr>
                      <w:szCs w:val="24"/>
                      <w:lang w:val="sq-AL"/>
                    </w:rPr>
                  </w:pPr>
                  <w:r w:rsidRPr="005157CB">
                    <w:rPr>
                      <w:szCs w:val="24"/>
                      <w:lang w:val="sq-AL"/>
                    </w:rPr>
                    <w:t>Nevoja për buxhet për shpenzime personeli</w:t>
                  </w:r>
                </w:p>
              </w:tc>
              <w:tc>
                <w:tcPr>
                  <w:tcW w:w="2372" w:type="dxa"/>
                </w:tcPr>
                <w:p w14:paraId="0A985BD1" w14:textId="44EECB4B" w:rsidR="008B7C11" w:rsidRPr="005157CB" w:rsidRDefault="008B7C11" w:rsidP="00965DE0">
                  <w:pPr>
                    <w:framePr w:hSpace="187" w:wrap="around" w:vAnchor="page" w:hAnchor="margin" w:y="1758"/>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szCs w:val="24"/>
                      <w:lang w:val="sq-AL"/>
                    </w:rPr>
                  </w:pPr>
                  <w:r w:rsidRPr="005157CB">
                    <w:rPr>
                      <w:szCs w:val="24"/>
                      <w:lang w:val="sq-AL"/>
                    </w:rPr>
                    <w:t>85.000</w:t>
                  </w:r>
                </w:p>
              </w:tc>
              <w:tc>
                <w:tcPr>
                  <w:tcW w:w="2372" w:type="dxa"/>
                </w:tcPr>
                <w:p w14:paraId="120728C9" w14:textId="685F5947" w:rsidR="008B7C11" w:rsidRPr="005157CB" w:rsidRDefault="008B7C11" w:rsidP="00965DE0">
                  <w:pPr>
                    <w:framePr w:hSpace="187" w:wrap="around" w:vAnchor="page" w:hAnchor="margin" w:y="1758"/>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szCs w:val="24"/>
                      <w:lang w:val="sq-AL"/>
                    </w:rPr>
                  </w:pPr>
                  <w:r w:rsidRPr="005157CB">
                    <w:rPr>
                      <w:szCs w:val="24"/>
                      <w:lang w:val="sq-AL"/>
                    </w:rPr>
                    <w:t>174.260</w:t>
                  </w:r>
                </w:p>
              </w:tc>
              <w:tc>
                <w:tcPr>
                  <w:tcW w:w="2373" w:type="dxa"/>
                </w:tcPr>
                <w:p w14:paraId="37B461EA" w14:textId="0769E58A" w:rsidR="008B7C11" w:rsidRPr="005157CB" w:rsidRDefault="008B7C11" w:rsidP="00965DE0">
                  <w:pPr>
                    <w:framePr w:hSpace="187" w:wrap="around" w:vAnchor="page" w:hAnchor="margin" w:y="1758"/>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szCs w:val="24"/>
                      <w:lang w:val="sq-AL"/>
                    </w:rPr>
                  </w:pPr>
                  <w:r w:rsidRPr="005157CB">
                    <w:rPr>
                      <w:szCs w:val="24"/>
                      <w:lang w:val="sq-AL"/>
                    </w:rPr>
                    <w:t>174.260</w:t>
                  </w:r>
                </w:p>
              </w:tc>
            </w:tr>
          </w:tbl>
          <w:p w14:paraId="4385113B" w14:textId="39DD61EC" w:rsidR="00E052DE" w:rsidRPr="005157CB" w:rsidRDefault="003D15FF" w:rsidP="00B74B4F">
            <w:pPr>
              <w:spacing w:before="240"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Kostot për trajnime vazhduese të përmbaruesve gjyqësorë shtetërorë do të përllogariten në varësi të planifikimit të tyre në programin e formimit vazhdues i cili synohet të miratohet me urdhër të Ministrit të Drejtësisë. </w:t>
            </w:r>
          </w:p>
        </w:tc>
      </w:tr>
      <w:tr w:rsidR="00E052DE" w:rsidRPr="004045D6" w14:paraId="03094400" w14:textId="77777777" w:rsidTr="00D7719D">
        <w:tc>
          <w:tcPr>
            <w:tcW w:w="9715" w:type="dxa"/>
            <w:gridSpan w:val="2"/>
          </w:tcPr>
          <w:p w14:paraId="28AA2A65" w14:textId="5650238E" w:rsidR="00E052DE" w:rsidRPr="005157CB" w:rsidRDefault="00E052DE" w:rsidP="00E052DE">
            <w:pPr>
              <w:jc w:val="both"/>
              <w:rPr>
                <w:rFonts w:ascii="Times New Roman" w:hAnsi="Times New Roman"/>
                <w:b/>
                <w:sz w:val="24"/>
                <w:szCs w:val="24"/>
              </w:rPr>
            </w:pPr>
            <w:r w:rsidRPr="005157CB">
              <w:rPr>
                <w:rFonts w:ascii="Times New Roman" w:hAnsi="Times New Roman"/>
                <w:b/>
                <w:sz w:val="24"/>
                <w:szCs w:val="24"/>
              </w:rPr>
              <w:t>KONSULTIMI</w:t>
            </w:r>
          </w:p>
          <w:p w14:paraId="23293637" w14:textId="77777777" w:rsidR="00E052DE" w:rsidRPr="005157CB" w:rsidRDefault="00E052DE" w:rsidP="00E052DE">
            <w:pPr>
              <w:jc w:val="both"/>
              <w:rPr>
                <w:rFonts w:ascii="Times New Roman" w:hAnsi="Times New Roman"/>
                <w:i/>
                <w:sz w:val="24"/>
                <w:szCs w:val="24"/>
              </w:rPr>
            </w:pPr>
            <w:r w:rsidRPr="005157CB">
              <w:rPr>
                <w:rFonts w:ascii="Times New Roman" w:hAnsi="Times New Roman"/>
                <w:i/>
                <w:sz w:val="24"/>
                <w:szCs w:val="24"/>
              </w:rPr>
              <w:t>Jepni një përmbledhje të çdo konsultimi të kryer (me kë dhe si jeni konsultuar?), çfarë pikëpamjesh janë shprehur, si janë trajtuar ato, domethënë çfarë ndryshimesh janë pranuar dhe çfarë janë refuzuar dhe arsyet pse?)</w:t>
            </w:r>
          </w:p>
          <w:p w14:paraId="7F11A76E" w14:textId="77777777" w:rsidR="00E052DE" w:rsidRPr="005157CB" w:rsidRDefault="00E052DE" w:rsidP="00E052DE">
            <w:pPr>
              <w:jc w:val="both"/>
              <w:rPr>
                <w:rFonts w:ascii="Times New Roman" w:hAnsi="Times New Roman"/>
                <w:sz w:val="24"/>
                <w:szCs w:val="24"/>
              </w:rPr>
            </w:pPr>
          </w:p>
          <w:p w14:paraId="3AD6EDE6" w14:textId="474FB578" w:rsidR="00E052DE" w:rsidRPr="005157CB" w:rsidRDefault="002132D8" w:rsidP="008C169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 xml:space="preserve">Në zbatim të ligjit nr.146/2014, </w:t>
            </w:r>
            <w:r w:rsidR="00E052DE" w:rsidRPr="005157CB">
              <w:rPr>
                <w:rFonts w:ascii="Times New Roman" w:hAnsi="Times New Roman"/>
                <w:sz w:val="24"/>
                <w:szCs w:val="24"/>
                <w:lang w:val="sq-AL"/>
              </w:rPr>
              <w:t xml:space="preserve">“Për Njoftimin dhe Konsultimin Publik”, Ministria </w:t>
            </w:r>
            <w:r w:rsidR="006B31C4" w:rsidRPr="005157CB">
              <w:rPr>
                <w:rFonts w:ascii="Times New Roman" w:hAnsi="Times New Roman"/>
                <w:sz w:val="24"/>
                <w:szCs w:val="24"/>
                <w:lang w:val="sq-AL"/>
              </w:rPr>
              <w:t xml:space="preserve">e </w:t>
            </w:r>
            <w:r w:rsidR="007D31AA" w:rsidRPr="005157CB">
              <w:rPr>
                <w:rFonts w:ascii="Times New Roman" w:hAnsi="Times New Roman"/>
                <w:sz w:val="24"/>
                <w:szCs w:val="24"/>
                <w:lang w:val="sq-AL"/>
              </w:rPr>
              <w:t xml:space="preserve">Drejtësisë do të publikojë </w:t>
            </w:r>
            <w:r w:rsidR="00E052DE" w:rsidRPr="005157CB">
              <w:rPr>
                <w:rFonts w:ascii="Times New Roman" w:hAnsi="Times New Roman"/>
                <w:sz w:val="24"/>
                <w:szCs w:val="24"/>
                <w:lang w:val="sq-AL"/>
              </w:rPr>
              <w:t xml:space="preserve">në portalin e Regjistrit Elektronik për Njoftimet dhe Konsultimet Publike draftin e projektligjit </w:t>
            </w:r>
            <w:r w:rsidR="007D31AA" w:rsidRPr="005157CB">
              <w:rPr>
                <w:rFonts w:ascii="Times New Roman" w:hAnsi="Times New Roman"/>
                <w:sz w:val="24"/>
                <w:szCs w:val="24"/>
                <w:lang w:val="sq-AL"/>
              </w:rPr>
              <w:t>për organizimin dhe funksionimin e shërbimit përmbarimor gjyqësor shtetë</w:t>
            </w:r>
            <w:r w:rsidRPr="005157CB">
              <w:rPr>
                <w:rFonts w:ascii="Times New Roman" w:hAnsi="Times New Roman"/>
                <w:sz w:val="24"/>
                <w:szCs w:val="24"/>
                <w:lang w:val="sq-AL"/>
              </w:rPr>
              <w:t>ror, së bashku me dokumetacionin shoqërues (</w:t>
            </w:r>
            <w:r w:rsidRPr="005157CB">
              <w:rPr>
                <w:rFonts w:ascii="Times New Roman" w:hAnsi="Times New Roman"/>
                <w:i/>
                <w:sz w:val="24"/>
                <w:szCs w:val="24"/>
                <w:lang w:val="sq-AL"/>
              </w:rPr>
              <w:t>relacioni shpjegues dhe raporti i vlerësimit të ndikimit</w:t>
            </w:r>
            <w:r w:rsidRPr="005157CB">
              <w:rPr>
                <w:rFonts w:ascii="Times New Roman" w:hAnsi="Times New Roman"/>
                <w:sz w:val="24"/>
                <w:szCs w:val="24"/>
                <w:lang w:val="sq-AL"/>
              </w:rPr>
              <w:t xml:space="preserve">). </w:t>
            </w:r>
          </w:p>
          <w:p w14:paraId="5FA61F3D" w14:textId="4086CE04" w:rsidR="00E052DE" w:rsidRPr="005157CB" w:rsidRDefault="002132D8" w:rsidP="008C169E">
            <w:pPr>
              <w:spacing w:after="240" w:line="276" w:lineRule="auto"/>
              <w:jc w:val="both"/>
              <w:rPr>
                <w:rFonts w:ascii="Times New Roman" w:hAnsi="Times New Roman"/>
                <w:sz w:val="24"/>
                <w:szCs w:val="24"/>
                <w:lang w:val="sq-AL"/>
              </w:rPr>
            </w:pPr>
            <w:r w:rsidRPr="005157CB">
              <w:rPr>
                <w:rFonts w:ascii="Times New Roman" w:hAnsi="Times New Roman"/>
                <w:sz w:val="24"/>
                <w:szCs w:val="24"/>
                <w:lang w:val="sq-AL"/>
              </w:rPr>
              <w:t>Referuar ligjit nr. 146/2014, “Për Njoftimin dhe Konsultimin Publik”, tërheqja e mendimeve dhe sugjerimeve të palëve të interesuara për përmbajtjen dhe përmirësimin e projektaktit, përfundon brenda 20 ditëve pune nga data e njoftimit për procesin e njoftimit e të konsultimit publik.</w:t>
            </w:r>
          </w:p>
        </w:tc>
      </w:tr>
      <w:tr w:rsidR="00E052DE" w:rsidRPr="00325A1F" w14:paraId="351492B2" w14:textId="77777777" w:rsidTr="00D7719D">
        <w:tc>
          <w:tcPr>
            <w:tcW w:w="9715" w:type="dxa"/>
            <w:gridSpan w:val="2"/>
          </w:tcPr>
          <w:p w14:paraId="15826980" w14:textId="77777777" w:rsidR="00E052DE" w:rsidRPr="005157CB" w:rsidRDefault="00E052DE" w:rsidP="00E052DE">
            <w:pPr>
              <w:spacing w:line="276" w:lineRule="auto"/>
              <w:jc w:val="both"/>
              <w:rPr>
                <w:rFonts w:ascii="Times New Roman" w:hAnsi="Times New Roman"/>
                <w:b/>
                <w:sz w:val="24"/>
                <w:szCs w:val="24"/>
                <w:lang w:val="sq-AL"/>
              </w:rPr>
            </w:pPr>
            <w:r w:rsidRPr="005157CB">
              <w:rPr>
                <w:rFonts w:ascii="Times New Roman" w:hAnsi="Times New Roman"/>
                <w:b/>
                <w:sz w:val="24"/>
                <w:szCs w:val="24"/>
                <w:lang w:val="sq-AL"/>
              </w:rPr>
              <w:lastRenderedPageBreak/>
              <w:t>ZBATIMI DHE MONITORIMI</w:t>
            </w:r>
          </w:p>
          <w:p w14:paraId="78A1F7FD" w14:textId="6B797F20" w:rsidR="00E052DE" w:rsidRPr="005157CB" w:rsidRDefault="00E052DE" w:rsidP="00E052DE">
            <w:pPr>
              <w:spacing w:line="276" w:lineRule="auto"/>
              <w:jc w:val="both"/>
              <w:rPr>
                <w:rFonts w:ascii="Times New Roman" w:hAnsi="Times New Roman"/>
                <w:i/>
                <w:sz w:val="24"/>
                <w:szCs w:val="24"/>
              </w:rPr>
            </w:pPr>
            <w:r w:rsidRPr="005157CB">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4" w:name="ZbatimiMonitorimi"/>
            <w:r w:rsidRPr="005157CB">
              <w:rPr>
                <w:rFonts w:ascii="Times New Roman" w:hAnsi="Times New Roman"/>
                <w:i/>
                <w:sz w:val="24"/>
                <w:szCs w:val="24"/>
              </w:rPr>
              <w:instrText xml:space="preserve"> FORMTEXT </w:instrText>
            </w:r>
            <w:r w:rsidRPr="005157CB">
              <w:rPr>
                <w:i/>
                <w:szCs w:val="24"/>
              </w:rPr>
            </w:r>
            <w:r w:rsidRPr="005157CB">
              <w:rPr>
                <w:i/>
                <w:szCs w:val="24"/>
              </w:rPr>
              <w:fldChar w:fldCharType="separate"/>
            </w:r>
            <w:r w:rsidRPr="005157CB">
              <w:rPr>
                <w:rFonts w:ascii="Times New Roman" w:hAnsi="Times New Roman"/>
                <w:i/>
                <w:noProof/>
                <w:sz w:val="24"/>
                <w:szCs w:val="24"/>
              </w:rPr>
              <w:t>Si do të organizohen zbatimi dhe monitorimi?(jo më shumë se 5 rreshta)</w:t>
            </w:r>
            <w:r w:rsidRPr="005157CB">
              <w:rPr>
                <w:i/>
                <w:szCs w:val="24"/>
              </w:rPr>
              <w:fldChar w:fldCharType="end"/>
            </w:r>
            <w:bookmarkEnd w:id="4"/>
          </w:p>
          <w:p w14:paraId="2F0ED07C" w14:textId="77777777" w:rsidR="009E71BD" w:rsidRPr="005157CB" w:rsidRDefault="009E71BD" w:rsidP="00E052DE">
            <w:pPr>
              <w:spacing w:line="276" w:lineRule="auto"/>
              <w:jc w:val="both"/>
              <w:rPr>
                <w:rFonts w:ascii="Times New Roman" w:hAnsi="Times New Roman"/>
                <w:i/>
                <w:sz w:val="24"/>
                <w:szCs w:val="24"/>
              </w:rPr>
            </w:pPr>
          </w:p>
          <w:p w14:paraId="298D534D" w14:textId="77777777" w:rsidR="00367FAB" w:rsidRPr="005157CB" w:rsidRDefault="00367FAB" w:rsidP="008C169E">
            <w:pPr>
              <w:spacing w:after="24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Pas </w:t>
            </w:r>
            <w:r w:rsidR="009E71BD" w:rsidRPr="005157CB">
              <w:rPr>
                <w:rFonts w:ascii="Times New Roman" w:hAnsi="Times New Roman"/>
                <w:color w:val="000000"/>
                <w:sz w:val="24"/>
                <w:szCs w:val="24"/>
                <w:lang w:val="sq-AL"/>
              </w:rPr>
              <w:t>hyrjes në fuqi të ligjit “Për organizimin dhe funksion</w:t>
            </w:r>
            <w:r w:rsidRPr="005157CB">
              <w:rPr>
                <w:rFonts w:ascii="Times New Roman" w:hAnsi="Times New Roman"/>
                <w:color w:val="000000"/>
                <w:sz w:val="24"/>
                <w:szCs w:val="24"/>
                <w:lang w:val="sq-AL"/>
              </w:rPr>
              <w:t xml:space="preserve">imin e shërbimit përmbarimor gjyqësor shtetëror”, </w:t>
            </w:r>
            <w:r w:rsidR="009E71BD" w:rsidRPr="005157CB">
              <w:rPr>
                <w:rFonts w:ascii="Times New Roman" w:hAnsi="Times New Roman"/>
                <w:color w:val="000000"/>
                <w:sz w:val="24"/>
                <w:szCs w:val="24"/>
                <w:lang w:val="sq-AL"/>
              </w:rPr>
              <w:t xml:space="preserve">institucionet shtetërore përgjegjëse për zbatimin dhe monitorimin e projektligjit janë: Ministria e Drejtësisë, </w:t>
            </w:r>
            <w:r w:rsidRPr="005157CB">
              <w:rPr>
                <w:rFonts w:ascii="Times New Roman" w:hAnsi="Times New Roman"/>
                <w:sz w:val="24"/>
                <w:szCs w:val="24"/>
              </w:rPr>
              <w:t xml:space="preserve"> </w:t>
            </w:r>
            <w:r w:rsidRPr="005157CB">
              <w:rPr>
                <w:rFonts w:ascii="Times New Roman" w:hAnsi="Times New Roman"/>
                <w:color w:val="000000"/>
                <w:sz w:val="24"/>
                <w:szCs w:val="24"/>
                <w:lang w:val="sq-AL"/>
              </w:rPr>
              <w:t xml:space="preserve">Drejtoria e Përgjithshme e Përmbarimit, përmbaruesit gjyqësorë shtetërorë, si dhe çdo autoritet publik funksionet e të cilëve lidhen apo ndikohen nga veprimtaria e përmbarimit gjyqësor shtetëror. </w:t>
            </w:r>
          </w:p>
          <w:p w14:paraId="0791959B" w14:textId="77777777" w:rsidR="002B55BA" w:rsidRPr="005157CB" w:rsidRDefault="00367FAB" w:rsidP="008C169E">
            <w:pPr>
              <w:spacing w:after="24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Zbatimi i plotë dhe efektiv i projektligjit varet nga nxjerrja dhe miratimi i akteve nënligjore në bazë e për zbatim të këtij ligji. Autoritetet shtetërore që synohen të ngarkohen me miratimin e tyre jane Ministri i Drejtësisë për pjesën më të madhe të akteve, ministri përgjegjës për financat dhe ekonomisë - në bashkëpunim me Ministrin e Drejtësisë - për aktet nënligjore normative që lidhen me tarifat e veprimtarive përmbarimore dhe për përjashtimin e kategorive të caktuara të subjekteve nga parapagimi i këtyre tarifave, si dhe Këshillin e Ministrave për rregullimin e çështjeve më të rëndësishme që kërkojnë vullnet më të gjerë politik për sanksionimin ligjor të tyre. </w:t>
            </w:r>
          </w:p>
          <w:p w14:paraId="4E6E06ED" w14:textId="0C660119" w:rsidR="00324383" w:rsidRPr="005157CB" w:rsidRDefault="002B55BA" w:rsidP="008C169E">
            <w:pPr>
              <w:spacing w:after="24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Miratimi i këtyre akteve nënligjore synohet të bëhet brenda një periudhe prej 6 muajsh ng</w:t>
            </w:r>
            <w:r w:rsidR="008C169E">
              <w:rPr>
                <w:rFonts w:ascii="Times New Roman" w:hAnsi="Times New Roman"/>
                <w:color w:val="000000"/>
                <w:sz w:val="24"/>
                <w:szCs w:val="24"/>
                <w:lang w:val="sq-AL"/>
              </w:rPr>
              <w:t>a hyrja në fuqi e ligjit, kohë e cila çmohet e</w:t>
            </w:r>
            <w:r w:rsidRPr="005157CB">
              <w:rPr>
                <w:rFonts w:ascii="Times New Roman" w:hAnsi="Times New Roman"/>
                <w:color w:val="000000"/>
                <w:sz w:val="24"/>
                <w:szCs w:val="24"/>
                <w:lang w:val="sq-AL"/>
              </w:rPr>
              <w:t xml:space="preserve"> mjaftueshme për hartimin e akteve nënligjore normative cilësore dhe shteruese për aq sa ligji autorizon. </w:t>
            </w:r>
            <w:r w:rsidR="00367FAB" w:rsidRPr="005157CB">
              <w:rPr>
                <w:rFonts w:ascii="Times New Roman" w:hAnsi="Times New Roman"/>
                <w:color w:val="000000"/>
                <w:sz w:val="24"/>
                <w:szCs w:val="24"/>
                <w:lang w:val="sq-AL"/>
              </w:rPr>
              <w:t xml:space="preserve"> </w:t>
            </w:r>
          </w:p>
          <w:p w14:paraId="2B582AE7" w14:textId="71E1FECD" w:rsidR="00B55348" w:rsidRPr="005157CB" w:rsidRDefault="00E052DE" w:rsidP="008C169E">
            <w:pPr>
              <w:spacing w:after="240" w:line="276" w:lineRule="auto"/>
              <w:jc w:val="both"/>
              <w:rPr>
                <w:rFonts w:ascii="Times New Roman" w:hAnsi="Times New Roman"/>
                <w:color w:val="000000"/>
                <w:sz w:val="24"/>
                <w:szCs w:val="24"/>
                <w:lang w:val="sq-AL"/>
              </w:rPr>
            </w:pPr>
            <w:r w:rsidRPr="005157CB">
              <w:rPr>
                <w:rFonts w:ascii="Times New Roman" w:hAnsi="Times New Roman"/>
                <w:color w:val="000000"/>
                <w:sz w:val="24"/>
                <w:szCs w:val="24"/>
                <w:lang w:val="sq-AL"/>
              </w:rPr>
              <w:t xml:space="preserve">Monitorimi në nivel </w:t>
            </w:r>
            <w:r w:rsidRPr="005157CB">
              <w:rPr>
                <w:rFonts w:ascii="Times New Roman" w:hAnsi="Times New Roman"/>
                <w:i/>
                <w:color w:val="000000"/>
                <w:sz w:val="24"/>
                <w:szCs w:val="24"/>
                <w:lang w:val="sq-AL"/>
              </w:rPr>
              <w:t>makro</w:t>
            </w:r>
            <w:r w:rsidRPr="005157CB">
              <w:rPr>
                <w:rFonts w:ascii="Times New Roman" w:hAnsi="Times New Roman"/>
                <w:color w:val="000000"/>
                <w:sz w:val="24"/>
                <w:szCs w:val="24"/>
                <w:lang w:val="sq-AL"/>
              </w:rPr>
              <w:t xml:space="preserve"> do të realizohet nga struktura përkatëse përgjeg</w:t>
            </w:r>
            <w:r w:rsidR="00324383" w:rsidRPr="005157CB">
              <w:rPr>
                <w:rFonts w:ascii="Times New Roman" w:hAnsi="Times New Roman"/>
                <w:color w:val="000000"/>
                <w:sz w:val="24"/>
                <w:szCs w:val="24"/>
                <w:lang w:val="sq-AL"/>
              </w:rPr>
              <w:t>jëse në Ministrinë e Drejtësisë për monitorimin e institucioneve të varësisë,</w:t>
            </w:r>
            <w:r w:rsidRPr="005157CB">
              <w:rPr>
                <w:rFonts w:ascii="Times New Roman" w:hAnsi="Times New Roman"/>
                <w:color w:val="000000"/>
                <w:sz w:val="24"/>
                <w:szCs w:val="24"/>
                <w:lang w:val="sq-AL"/>
              </w:rPr>
              <w:t xml:space="preserve"> e cila </w:t>
            </w:r>
            <w:r w:rsidR="00324383" w:rsidRPr="005157CB">
              <w:rPr>
                <w:rFonts w:ascii="Times New Roman" w:hAnsi="Times New Roman"/>
                <w:color w:val="000000"/>
                <w:sz w:val="24"/>
                <w:szCs w:val="24"/>
                <w:lang w:val="sq-AL"/>
              </w:rPr>
              <w:t>është</w:t>
            </w:r>
            <w:r w:rsidRPr="005157CB">
              <w:rPr>
                <w:rFonts w:ascii="Times New Roman" w:hAnsi="Times New Roman"/>
                <w:color w:val="000000"/>
                <w:sz w:val="24"/>
                <w:szCs w:val="24"/>
                <w:lang w:val="sq-AL"/>
              </w:rPr>
              <w:t xml:space="preserve"> Drejtoria e Përgjithshme Rregullatore e Çështjeve të Drejtësisë. Pranë kësaj Drejtorie vepron Sektori i </w:t>
            </w:r>
            <w:r w:rsidR="00324383" w:rsidRPr="005157CB">
              <w:rPr>
                <w:rFonts w:ascii="Times New Roman" w:hAnsi="Times New Roman"/>
                <w:color w:val="000000"/>
                <w:sz w:val="24"/>
                <w:szCs w:val="24"/>
                <w:lang w:val="sq-AL"/>
              </w:rPr>
              <w:t>Monitorimit të Institucioneve të Varësisë</w:t>
            </w:r>
            <w:r w:rsidRPr="005157CB">
              <w:rPr>
                <w:rFonts w:ascii="Times New Roman" w:hAnsi="Times New Roman"/>
                <w:color w:val="000000"/>
                <w:sz w:val="24"/>
                <w:szCs w:val="24"/>
                <w:lang w:val="sq-AL"/>
              </w:rPr>
              <w:t xml:space="preserve">, i cili </w:t>
            </w:r>
            <w:r w:rsidR="008712CE" w:rsidRPr="005157CB">
              <w:rPr>
                <w:rFonts w:ascii="Times New Roman" w:hAnsi="Times New Roman"/>
                <w:color w:val="000000"/>
                <w:sz w:val="24"/>
                <w:szCs w:val="24"/>
                <w:lang w:val="sq-AL"/>
              </w:rPr>
              <w:t>ka dhe do të vijojë të ketë përgjegjësinë për të kontrolluar dhe monitoruar veprimtarinë e Drejtorisë së Përgjithshme të Përmbarimit dhe zyrave përmbarimore vendore.</w:t>
            </w:r>
          </w:p>
          <w:p w14:paraId="009D7EC2" w14:textId="17500E67" w:rsidR="00E052DE" w:rsidRPr="005157CB" w:rsidRDefault="00E052DE" w:rsidP="008C169E">
            <w:pPr>
              <w:spacing w:after="240" w:line="276" w:lineRule="auto"/>
              <w:jc w:val="both"/>
              <w:rPr>
                <w:rFonts w:ascii="Times New Roman" w:hAnsi="Times New Roman"/>
                <w:i/>
                <w:sz w:val="24"/>
                <w:szCs w:val="24"/>
                <w:lang w:val="sq-AL"/>
              </w:rPr>
            </w:pPr>
            <w:r w:rsidRPr="005157CB">
              <w:rPr>
                <w:rFonts w:ascii="Times New Roman" w:hAnsi="Times New Roman"/>
                <w:sz w:val="24"/>
                <w:szCs w:val="24"/>
                <w:lang w:val="sq-AL"/>
              </w:rPr>
              <w:t xml:space="preserve">Kontrolli për zbatimin e ligjit dhe akteve nënligjore që nxirren në bazë dhe në zbatim të tij ushtrohet nga subjektet sipas detyrave, të drejtave dhe  përgjegjësive të përcaktuara në </w:t>
            </w:r>
            <w:r w:rsidR="00B55348" w:rsidRPr="005157CB">
              <w:rPr>
                <w:rFonts w:ascii="Times New Roman" w:hAnsi="Times New Roman"/>
                <w:sz w:val="24"/>
                <w:szCs w:val="24"/>
                <w:lang w:val="sq-AL"/>
              </w:rPr>
              <w:t xml:space="preserve">projektligjin e ri. </w:t>
            </w:r>
            <w:r w:rsidRPr="005157CB">
              <w:rPr>
                <w:i/>
                <w:szCs w:val="24"/>
              </w:rPr>
              <w:fldChar w:fldCharType="begin">
                <w:ffData>
                  <w:name w:val=""/>
                  <w:enabled/>
                  <w:calcOnExit w:val="0"/>
                  <w:textInput>
                    <w:maxLength w:val="390"/>
                  </w:textInput>
                </w:ffData>
              </w:fldChar>
            </w:r>
            <w:r w:rsidRPr="005157CB">
              <w:rPr>
                <w:rFonts w:ascii="Times New Roman" w:hAnsi="Times New Roman"/>
                <w:i/>
                <w:sz w:val="24"/>
                <w:szCs w:val="24"/>
              </w:rPr>
              <w:instrText xml:space="preserve"> FORMTEXT </w:instrText>
            </w:r>
            <w:r w:rsidRPr="005157CB">
              <w:rPr>
                <w:i/>
                <w:szCs w:val="24"/>
              </w:rPr>
            </w:r>
            <w:r w:rsidRPr="005157CB">
              <w:rPr>
                <w:i/>
                <w:szCs w:val="24"/>
              </w:rPr>
              <w:fldChar w:fldCharType="separate"/>
            </w:r>
            <w:r w:rsidRPr="005157CB">
              <w:rPr>
                <w:rFonts w:ascii="Times New Roman" w:hAnsi="Times New Roman"/>
                <w:i/>
                <w:noProof/>
                <w:sz w:val="24"/>
                <w:szCs w:val="24"/>
              </w:rPr>
              <w:t> </w:t>
            </w:r>
            <w:r w:rsidRPr="005157CB">
              <w:rPr>
                <w:rFonts w:ascii="Times New Roman" w:hAnsi="Times New Roman"/>
                <w:i/>
                <w:noProof/>
                <w:sz w:val="24"/>
                <w:szCs w:val="24"/>
              </w:rPr>
              <w:t> </w:t>
            </w:r>
            <w:r w:rsidRPr="005157CB">
              <w:rPr>
                <w:rFonts w:ascii="Times New Roman" w:hAnsi="Times New Roman"/>
                <w:i/>
                <w:noProof/>
                <w:sz w:val="24"/>
                <w:szCs w:val="24"/>
              </w:rPr>
              <w:t> </w:t>
            </w:r>
            <w:r w:rsidRPr="005157CB">
              <w:rPr>
                <w:rFonts w:ascii="Times New Roman" w:hAnsi="Times New Roman"/>
                <w:i/>
                <w:noProof/>
                <w:sz w:val="24"/>
                <w:szCs w:val="24"/>
              </w:rPr>
              <w:t> </w:t>
            </w:r>
            <w:r w:rsidRPr="005157CB">
              <w:rPr>
                <w:rFonts w:ascii="Times New Roman" w:hAnsi="Times New Roman"/>
                <w:i/>
                <w:noProof/>
                <w:sz w:val="24"/>
                <w:szCs w:val="24"/>
              </w:rPr>
              <w:t> </w:t>
            </w:r>
            <w:r w:rsidRPr="005157CB">
              <w:rPr>
                <w:i/>
                <w:szCs w:val="24"/>
              </w:rPr>
              <w:fldChar w:fldCharType="end"/>
            </w:r>
          </w:p>
        </w:tc>
      </w:tr>
    </w:tbl>
    <w:p w14:paraId="0C6DF655" w14:textId="77777777" w:rsidR="00C133FC" w:rsidRDefault="00C133FC" w:rsidP="009D13F4">
      <w:pPr>
        <w:pStyle w:val="Heading1"/>
        <w:spacing w:line="276" w:lineRule="auto"/>
        <w:rPr>
          <w:rFonts w:ascii="Times New Roman" w:hAnsi="Times New Roman" w:cs="Times New Roman"/>
          <w:sz w:val="24"/>
          <w:szCs w:val="24"/>
          <w:lang w:val="sq-AL"/>
        </w:rPr>
      </w:pPr>
      <w:bookmarkStart w:id="5"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14:paraId="1AEFD50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80836"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51D5A819" w14:textId="77777777" w:rsidR="00C133FC" w:rsidRPr="00C133FC" w:rsidRDefault="00C133FC" w:rsidP="00B17990">
      <w:pPr>
        <w:rPr>
          <w:lang w:val="sq-AL"/>
        </w:rPr>
      </w:pPr>
    </w:p>
    <w:p w14:paraId="373E349F"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5"/>
    </w:p>
    <w:sdt>
      <w:sdtPr>
        <w:rPr>
          <w:i/>
          <w:szCs w:val="24"/>
          <w:lang w:val="sq-AL"/>
        </w:rPr>
        <w:id w:val="-1879696236"/>
        <w:lock w:val="contentLocked"/>
        <w:placeholder>
          <w:docPart w:val="DefaultPlaceholder_-1854013440"/>
        </w:placeholder>
      </w:sdtPr>
      <w:sdtEndPr/>
      <w:sdtContent>
        <w:p w14:paraId="65B5F973" w14:textId="3ECEF7A3"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rFonts w:ascii="Calibri" w:hAnsi="Calibri"/>
          <w:sz w:val="22"/>
          <w:lang w:val="sq-AL"/>
        </w:rPr>
        <w:id w:val="1083723407"/>
        <w:placeholder>
          <w:docPart w:val="DefaultPlaceholder_1081868574"/>
        </w:placeholder>
      </w:sdtPr>
      <w:sdtEndPr/>
      <w:sdtContent>
        <w:p w14:paraId="3734ACA2" w14:textId="77777777" w:rsidR="00A863FA" w:rsidRDefault="00C278E6" w:rsidP="00A863FA">
          <w:pPr>
            <w:spacing w:after="240" w:line="276" w:lineRule="auto"/>
            <w:ind w:left="1"/>
            <w:jc w:val="both"/>
            <w:rPr>
              <w:szCs w:val="28"/>
              <w:lang w:val="sq-AL" w:eastAsia="sq-AL"/>
            </w:rPr>
          </w:pPr>
          <w:sdt>
            <w:sdtPr>
              <w:rPr>
                <w:rFonts w:eastAsiaTheme="majorEastAsia"/>
                <w:color w:val="808080" w:themeColor="background1" w:themeShade="80"/>
                <w:sz w:val="22"/>
                <w:lang w:val="sq-AL"/>
              </w:rPr>
              <w:id w:val="-559169390"/>
              <w:placeholder>
                <w:docPart w:val="7D4BF66875D84F409BE5ED571A99CDF4"/>
              </w:placeholder>
            </w:sdtPr>
            <w:sdtEndPr/>
            <w:sdtContent>
              <w:r w:rsidR="007742EA" w:rsidRPr="00E56DAB">
                <w:rPr>
                  <w:szCs w:val="28"/>
                  <w:lang w:val="sq-AL" w:eastAsia="sq-AL"/>
                </w:rPr>
                <w:t>Bazuar në Analizën e Sistemit të Drejtëisë e miratuar nga Komisioni i Posacëm Për Reformën në Sistemin e Drejtësisë me vendimin nr. 14, datë 30.07.2015, rezulton se janë identifikuar një sërë problematikash sa i takon ofrimit të shërbimit të ekzekutimit të titujve ekzekutivë nga shërbimi përmbarimor.</w:t>
              </w:r>
              <w:r w:rsidR="00A863FA">
                <w:rPr>
                  <w:szCs w:val="28"/>
                  <w:lang w:val="sq-AL" w:eastAsia="sq-AL"/>
                </w:rPr>
                <w:t xml:space="preserve">        </w:t>
              </w:r>
            </w:sdtContent>
          </w:sdt>
        </w:p>
        <w:p w14:paraId="6885DF25" w14:textId="65E04513" w:rsidR="00E56DAB" w:rsidRDefault="00A863FA" w:rsidP="00A863FA">
          <w:pPr>
            <w:spacing w:after="240" w:line="276" w:lineRule="auto"/>
            <w:ind w:left="1"/>
            <w:jc w:val="both"/>
            <w:rPr>
              <w:szCs w:val="28"/>
              <w:lang w:val="sq-AL" w:eastAsia="sq-AL"/>
            </w:rPr>
          </w:pPr>
          <w:r>
            <w:rPr>
              <w:szCs w:val="28"/>
              <w:lang w:val="sq-AL" w:eastAsia="sq-AL"/>
            </w:rPr>
            <w:t>K</w:t>
          </w:r>
          <w:r w:rsidR="007742EA" w:rsidRPr="007742EA">
            <w:rPr>
              <w:szCs w:val="28"/>
              <w:lang w:val="sq-AL" w:eastAsia="sq-AL"/>
            </w:rPr>
            <w:t xml:space="preserve">onkretisht, Analiza e Sistemit të Drejtësisë evidenton se ka mangësi në shërbimin përmbarimor gjyqësor shtetëror, zgjatje të pajustifikuara në ekzekutimin e titujve ekzekutivë, mungesë transparence dhe përkushtimi në ushtrimin e detyrave, si dhe vonesa të mëdha në ekzekutim. Veprimtaria e përmbaruesve gjyqësorë nuk karakterizohet nga profesionalizmi dhe paanshmëria në procesin e ekzekutimit të titujve ekzekutivë. Në këtë drejtim, bazuar në gjetjet përkatëse, u ndërmor nisma dhe u miratua ligji nr. 26/2019, “Për shërbimin përmbarimor gjyqësor privat”, në kuadër të Reformës në Drejtësi, duke reformuar shërbimin përmbarimor privat dhe duke lënë mënjanë shërbimin përmbarimor shtetëror, ndërkohë nevoja për reformim u shfaq tek të dyja llojet e shërbimit përmbarimor. </w:t>
          </w:r>
        </w:p>
        <w:p w14:paraId="6047E38F" w14:textId="77777777" w:rsidR="00A25095" w:rsidRDefault="007742EA" w:rsidP="00A863FA">
          <w:pPr>
            <w:spacing w:after="200" w:line="276" w:lineRule="auto"/>
            <w:ind w:left="1"/>
            <w:jc w:val="both"/>
            <w:rPr>
              <w:szCs w:val="28"/>
              <w:lang w:val="sq-AL" w:eastAsia="sq-AL"/>
            </w:rPr>
          </w:pPr>
          <w:r w:rsidRPr="007742EA">
            <w:rPr>
              <w:szCs w:val="28"/>
              <w:lang w:val="sq-AL" w:eastAsia="sq-AL"/>
            </w:rPr>
            <w:t>Që në fazën e diskutimit të ligjit nr. 26/2019, vëmendje e veçantë i është kushtuar edhe nevojës për reformimin e shërbimit përmbarimor gjyqësor shtetëror, duke theksuar se do të merret nisma ligjore që do të garantojë rritjen e cilësisë së ofrimit të shërbimeve edhe nga shërbimi përmbarimor gjyqësor shtetëror (</w:t>
          </w:r>
          <w:r w:rsidRPr="007742EA">
            <w:rPr>
              <w:i/>
              <w:szCs w:val="28"/>
              <w:lang w:val="sq-AL" w:eastAsia="sq-AL"/>
            </w:rPr>
            <w:t>shih raportin e Komisionit përgjegjës për çështjet ligjore të datës 26.06.2019</w:t>
          </w:r>
          <w:r w:rsidRPr="007742EA">
            <w:rPr>
              <w:szCs w:val="28"/>
              <w:lang w:val="sq-AL" w:eastAsia="sq-AL"/>
            </w:rPr>
            <w:t>).</w:t>
          </w:r>
          <w:r w:rsidR="001D4936">
            <w:rPr>
              <w:szCs w:val="28"/>
              <w:lang w:val="sq-AL" w:eastAsia="sq-AL"/>
            </w:rPr>
            <w:t xml:space="preserve"> </w:t>
          </w:r>
        </w:p>
        <w:p w14:paraId="67EA6D08" w14:textId="507CD6C3" w:rsidR="001D4936" w:rsidRDefault="001D4936" w:rsidP="00A863FA">
          <w:pPr>
            <w:spacing w:after="200" w:line="276" w:lineRule="auto"/>
            <w:ind w:left="1"/>
            <w:jc w:val="both"/>
            <w:rPr>
              <w:szCs w:val="28"/>
              <w:lang w:val="sq-AL" w:eastAsia="sq-AL"/>
            </w:rPr>
          </w:pPr>
          <w:r>
            <w:rPr>
              <w:szCs w:val="28"/>
              <w:lang w:val="sq-AL" w:eastAsia="sq-AL"/>
            </w:rPr>
            <w:t xml:space="preserve">Në këtë kuadër, hartimi dhe miratimi i një ligji të ri për shërbimin përmbarimor gjyqësor shtetëror </w:t>
          </w:r>
          <w:r w:rsidR="00A25095">
            <w:rPr>
              <w:szCs w:val="28"/>
              <w:lang w:val="sq-AL" w:eastAsia="sq-AL"/>
            </w:rPr>
            <w:t xml:space="preserve">përbën një prioritet për qeverinë shqiptare. </w:t>
          </w:r>
        </w:p>
        <w:p w14:paraId="591CFA10" w14:textId="77777777" w:rsidR="00DC42C1" w:rsidRPr="00DC42C1" w:rsidRDefault="00DC42C1" w:rsidP="00A863FA">
          <w:pPr>
            <w:spacing w:after="200" w:line="276" w:lineRule="auto"/>
            <w:ind w:left="1"/>
            <w:jc w:val="both"/>
            <w:rPr>
              <w:szCs w:val="24"/>
              <w:lang w:val="sq-AL" w:eastAsia="sq-AL"/>
            </w:rPr>
          </w:pPr>
          <w:r w:rsidRPr="00DC42C1">
            <w:rPr>
              <w:szCs w:val="28"/>
              <w:lang w:val="sq-AL" w:eastAsia="sq-AL"/>
            </w:rPr>
            <w:t xml:space="preserve">Reflektimi i dispozitave ligjore për zgjidhjen e problematikave të konstatuara në Analizën e Sistemit të Drejtësisë </w:t>
          </w:r>
          <w:r w:rsidRPr="00DC42C1">
            <w:rPr>
              <w:szCs w:val="24"/>
              <w:lang w:val="sq-AL" w:eastAsia="sq-AL"/>
            </w:rPr>
            <w:t>dhe harmonizimi me paketën e ligjeve të reformës në sistemin e drejtësisë, është komponenti bazë i këtij projektligji. Projektligji është në përputhje të plotë me legjislacionin vendas dhe objektivat e strategjisë së drejtësisë dhe planit të saj të veprimit. Një komponent i rëndësishëm i procesit të përgatitjes së këtij projektligji ka qënë referimi i standarteve ndërkombëtare në fushën e ekzekutimit të vendimeve gjyqësore, të përcaktuara në:</w:t>
          </w:r>
        </w:p>
        <w:p w14:paraId="36268525" w14:textId="0B10DF2E" w:rsidR="00DC42C1" w:rsidRPr="00DC42C1" w:rsidRDefault="00913D99" w:rsidP="00A863FA">
          <w:pPr>
            <w:pStyle w:val="ListParagraph"/>
            <w:numPr>
              <w:ilvl w:val="0"/>
              <w:numId w:val="40"/>
            </w:numPr>
            <w:spacing w:after="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Rekomandimin </w:t>
          </w:r>
          <w:r w:rsidR="00DC42C1" w:rsidRPr="00DC42C1">
            <w:rPr>
              <w:rFonts w:ascii="Times New Roman" w:hAnsi="Times New Roman"/>
              <w:sz w:val="24"/>
              <w:szCs w:val="24"/>
              <w:lang w:val="sq-AL" w:eastAsia="sq-AL"/>
            </w:rPr>
            <w:t>nr.17, datë 09 Shtator 2003, të Këshillit të Evropës, për shtetet anëtare “Për  ekzekutimin”.</w:t>
          </w:r>
        </w:p>
        <w:p w14:paraId="1456711D" w14:textId="7E479524" w:rsidR="00DC42C1" w:rsidRPr="00DC42C1" w:rsidRDefault="00913D99" w:rsidP="00A863FA">
          <w:pPr>
            <w:pStyle w:val="ListParagraph"/>
            <w:numPr>
              <w:ilvl w:val="0"/>
              <w:numId w:val="40"/>
            </w:numPr>
            <w:spacing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Udhëzuesin</w:t>
          </w:r>
          <w:r w:rsidR="00DC42C1" w:rsidRPr="00DC42C1">
            <w:rPr>
              <w:rFonts w:ascii="Times New Roman" w:hAnsi="Times New Roman"/>
              <w:sz w:val="24"/>
              <w:szCs w:val="24"/>
              <w:lang w:val="sq-AL" w:eastAsia="sq-AL"/>
            </w:rPr>
            <w:t xml:space="preserve"> datë 17 Dhjetor 2009, të Komisionit Europian për Eficencën e Drejtësisë (CEPEJ) “Për implementimin e rekomandimit të Këshillit të Evropës për ekzekutimin”.</w:t>
          </w:r>
        </w:p>
        <w:p w14:paraId="0EF6896A" w14:textId="204EB8B5" w:rsidR="00DC42C1" w:rsidRPr="00DC42C1" w:rsidRDefault="00DC42C1" w:rsidP="00A863FA">
          <w:pPr>
            <w:spacing w:after="200" w:line="276" w:lineRule="auto"/>
            <w:ind w:left="1"/>
            <w:jc w:val="both"/>
            <w:rPr>
              <w:szCs w:val="24"/>
              <w:lang w:val="sq-AL" w:eastAsia="sq-AL"/>
            </w:rPr>
          </w:pPr>
          <w:r w:rsidRPr="00DC42C1">
            <w:rPr>
              <w:szCs w:val="24"/>
              <w:lang w:val="sq-AL" w:eastAsia="sq-AL"/>
            </w:rPr>
            <w:t>Sipas Rekomandimit 17/2003, të Këshillit të Evropës, në mënyrë që shërbimi i ekzekutimit të jetë efikas nevojitet:</w:t>
          </w:r>
        </w:p>
        <w:p w14:paraId="26A68EC6" w14:textId="74BC5BDA" w:rsidR="00DC42C1" w:rsidRPr="00DC42C1" w:rsidRDefault="00913D99" w:rsidP="00A863FA">
          <w:pPr>
            <w:pStyle w:val="ListParagraph"/>
            <w:numPr>
              <w:ilvl w:val="0"/>
              <w:numId w:val="41"/>
            </w:numPr>
            <w:spacing w:after="20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r</w:t>
          </w:r>
          <w:r w:rsidR="00DC42C1" w:rsidRPr="00DC42C1">
            <w:rPr>
              <w:rFonts w:ascii="Times New Roman" w:hAnsi="Times New Roman"/>
              <w:sz w:val="24"/>
              <w:szCs w:val="24"/>
              <w:lang w:val="sq-AL" w:eastAsia="sq-AL"/>
            </w:rPr>
            <w:t>ekrutimi/akreditimi i përmbaruesve gjyqësorë të një standardi dhe trajnimi të përshtatshëm me kompleksitetin e detyrës. Një trajnim cilësor i profesionistëve është i rëndësishëm për dhënien e drejtësisë dhe për të rritur besimin e përdoruesve në sistemin e tyre të drejtësisë;</w:t>
          </w:r>
        </w:p>
        <w:p w14:paraId="392A1AEC" w14:textId="21CFEC6A" w:rsidR="00DC42C1" w:rsidRPr="00DC42C1" w:rsidRDefault="00913D99" w:rsidP="00A863FA">
          <w:pPr>
            <w:pStyle w:val="ListParagraph"/>
            <w:numPr>
              <w:ilvl w:val="0"/>
              <w:numId w:val="41"/>
            </w:numPr>
            <w:spacing w:after="20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w:t>
          </w:r>
          <w:r w:rsidR="00DC42C1" w:rsidRPr="00DC42C1">
            <w:rPr>
              <w:rFonts w:ascii="Times New Roman" w:hAnsi="Times New Roman"/>
              <w:sz w:val="24"/>
              <w:szCs w:val="24"/>
              <w:lang w:val="sq-AL" w:eastAsia="sq-AL"/>
            </w:rPr>
            <w:t>përmbaruesve gjyqësorë duhet t’u kërkohet ndjekja e trajnimit të vashdueshëm, të detyruar;</w:t>
          </w:r>
        </w:p>
        <w:p w14:paraId="6B8546A2" w14:textId="6DF221AA" w:rsidR="00DC42C1" w:rsidRPr="00DC42C1" w:rsidRDefault="00913D99" w:rsidP="00A863FA">
          <w:pPr>
            <w:pStyle w:val="ListParagraph"/>
            <w:numPr>
              <w:ilvl w:val="0"/>
              <w:numId w:val="41"/>
            </w:numPr>
            <w:spacing w:after="20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w:t>
          </w:r>
          <w:r w:rsidR="00DC42C1" w:rsidRPr="00DC42C1">
            <w:rPr>
              <w:rFonts w:ascii="Times New Roman" w:hAnsi="Times New Roman"/>
              <w:sz w:val="24"/>
              <w:szCs w:val="24"/>
              <w:lang w:val="sq-AL" w:eastAsia="sq-AL"/>
            </w:rPr>
            <w:t>statusi i përmbaruesve gjyqësorë duhet të përcaktohet qartë për t’ju ofruar palëve të mundshme në procedurat e ekzekutimit një profesionist të paanshëm, të kualifikuar, të përgjegjshëm, të motivuar dhe të efektshëm;</w:t>
          </w:r>
        </w:p>
        <w:p w14:paraId="5322B3D0" w14:textId="3E4D1F6B" w:rsidR="00DC42C1" w:rsidRPr="00DC42C1" w:rsidRDefault="00913D99" w:rsidP="00A863FA">
          <w:pPr>
            <w:pStyle w:val="ListParagraph"/>
            <w:numPr>
              <w:ilvl w:val="0"/>
              <w:numId w:val="41"/>
            </w:numPr>
            <w:spacing w:after="200" w:line="276" w:lineRule="auto"/>
            <w:jc w:val="both"/>
            <w:rPr>
              <w:rFonts w:ascii="Times New Roman" w:hAnsi="Times New Roman"/>
              <w:sz w:val="24"/>
              <w:szCs w:val="24"/>
              <w:lang w:val="sq-AL" w:eastAsia="sq-AL"/>
            </w:rPr>
          </w:pPr>
          <w:r>
            <w:rPr>
              <w:rFonts w:ascii="Times New Roman" w:hAnsi="Times New Roman"/>
              <w:sz w:val="24"/>
              <w:szCs w:val="24"/>
              <w:lang w:val="sq-AL" w:eastAsia="sq-AL"/>
            </w:rPr>
            <w:t xml:space="preserve">  </w:t>
          </w:r>
          <w:r w:rsidR="00DC42C1" w:rsidRPr="00DC42C1">
            <w:rPr>
              <w:rFonts w:ascii="Times New Roman" w:hAnsi="Times New Roman"/>
              <w:sz w:val="24"/>
              <w:szCs w:val="24"/>
              <w:lang w:val="sq-AL" w:eastAsia="sq-AL"/>
            </w:rPr>
            <w:t>përmbaruesit gjyqësorë shtetërorë duhet të kenë kushte të përshtatshme pune dhe burime të mjaftueshme materiale dhe njerëzore;</w:t>
          </w:r>
        </w:p>
        <w:p w14:paraId="37737844" w14:textId="4B980478" w:rsidR="00563378" w:rsidRPr="00DC42C1" w:rsidRDefault="00913D99" w:rsidP="00A863FA">
          <w:pPr>
            <w:pStyle w:val="ListParagraph"/>
            <w:numPr>
              <w:ilvl w:val="0"/>
              <w:numId w:val="41"/>
            </w:numPr>
            <w:spacing w:after="200" w:line="276" w:lineRule="auto"/>
            <w:jc w:val="both"/>
            <w:rPr>
              <w:szCs w:val="28"/>
              <w:lang w:val="sq-AL" w:eastAsia="sq-AL"/>
            </w:rPr>
          </w:pPr>
          <w:r>
            <w:rPr>
              <w:rFonts w:ascii="Times New Roman" w:hAnsi="Times New Roman"/>
              <w:sz w:val="24"/>
              <w:szCs w:val="24"/>
              <w:lang w:val="sq-AL" w:eastAsia="sq-AL"/>
            </w:rPr>
            <w:lastRenderedPageBreak/>
            <w:t xml:space="preserve">  </w:t>
          </w:r>
          <w:r w:rsidR="00DC42C1" w:rsidRPr="00DC42C1">
            <w:rPr>
              <w:rFonts w:ascii="Times New Roman" w:hAnsi="Times New Roman"/>
              <w:sz w:val="24"/>
              <w:szCs w:val="24"/>
              <w:lang w:val="sq-AL" w:eastAsia="sq-AL"/>
            </w:rPr>
            <w:t>përmbaruesve gjyqësorë shtetërorë, duhet t’u garantohet shpërblimi i duhur, sidomos duke pasur parasysh nivelin e tyre të trajnimit, përvojën dhe vështirësitë që lidhen me ushtrimin e funksionit të tyre.</w:t>
          </w:r>
        </w:p>
      </w:sdtContent>
    </w:sdt>
    <w:p w14:paraId="3A394B8F" w14:textId="48550E26"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6" w:name="_Toc506919734" w:displacedByCustomXml="next"/>
    <w:sdt>
      <w:sdtPr>
        <w:id w:val="5332828"/>
        <w:lock w:val="contentLocked"/>
        <w:placeholder>
          <w:docPart w:val="873E64307E5F40099245506EC819755B"/>
        </w:placeholder>
      </w:sdtPr>
      <w:sdtEndPr/>
      <w:sdtContent>
        <w:p w14:paraId="101CBF4C" w14:textId="54202AE6"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752CBE5E" w14:textId="7860B8C3" w:rsidR="00563378" w:rsidRPr="008D5EAF" w:rsidRDefault="00C278E6" w:rsidP="00A863FA">
      <w:pPr>
        <w:spacing w:before="240" w:line="276" w:lineRule="auto"/>
        <w:jc w:val="both"/>
        <w:rPr>
          <w:rFonts w:eastAsia="Calibri"/>
          <w:szCs w:val="24"/>
        </w:rPr>
      </w:pPr>
      <w:sdt>
        <w:sdtPr>
          <w:rPr>
            <w:rFonts w:eastAsiaTheme="majorEastAsia"/>
            <w:lang w:val="sq-AL"/>
          </w:rPr>
          <w:id w:val="183797412"/>
          <w:placeholder>
            <w:docPart w:val="6DDBB321FA75409DA38DDE9CB0FD1E41"/>
          </w:placeholder>
        </w:sdtPr>
        <w:sdtEndPr>
          <w:rPr>
            <w:lang w:val="en-GB"/>
          </w:rPr>
        </w:sdtEndPr>
        <w:sdtContent>
          <w:r w:rsidR="006A2573" w:rsidRPr="00C33E5A">
            <w:rPr>
              <w:szCs w:val="24"/>
              <w:lang w:val="sq-AL" w:eastAsia="sq-AL"/>
            </w:rPr>
            <w:t xml:space="preserve">Bazuar mbi një analizë të detajuar të kuadrit ligjor në fuqi, që rregullon organizimin dhe funksionimin e Shërbimit të Përmbarimit Gjyqësor Shtetëror, janë konstatuar problematikat vijuese: </w:t>
          </w:r>
          <w:r w:rsidR="00056B7A" w:rsidRPr="00C33E5A">
            <w:rPr>
              <w:b/>
              <w:i/>
              <w:szCs w:val="24"/>
              <w:lang w:val="sq-AL" w:eastAsia="sq-AL"/>
            </w:rPr>
            <w:t>(a)</w:t>
          </w:r>
          <w:r w:rsidR="00056B7A" w:rsidRPr="00C33E5A">
            <w:rPr>
              <w:szCs w:val="24"/>
              <w:lang w:val="sq-AL" w:eastAsia="sq-AL"/>
            </w:rPr>
            <w:t xml:space="preserve"> </w:t>
          </w:r>
          <w:r w:rsidR="006A2573" w:rsidRPr="00C33E5A">
            <w:rPr>
              <w:szCs w:val="24"/>
              <w:lang w:val="sq-AL" w:eastAsia="sq-AL"/>
            </w:rPr>
            <w:t>Që nga viti 2001, ku me miratimin e ligjit nr. 8730, datë 18.01.2001, “Për organizimin dhe funksionimin e shërbimit të përmbarimit gjyqësor”, përmbarimi gjyqësor nga një funksion organik në strukturën e gjykatës, merr një formë tjetër organizimi dhe funksionimi, unik të centralizuar, me shtrirje në të gjithë territorin e Republikës së Shqipërisë dhe në varësi të Ministrit të Drejtësisë, nuk ka pësuar asnjë ndryshim edhe pse në vitin 2008, është miratuar ligji për shërbimin përmbarimor gjyqësor privat. I vetmi ndryshim është ai i miratuar në vitin 2017, në nenin 12, të tij lidhur  me tarifat përmbarimore</w:t>
          </w:r>
          <w:r w:rsidR="006A2573" w:rsidRPr="00A863FA">
            <w:rPr>
              <w:szCs w:val="24"/>
              <w:lang w:val="sq-AL" w:eastAsia="sq-AL"/>
            </w:rPr>
            <w:t>.</w:t>
          </w:r>
          <w:r w:rsidR="006A2573" w:rsidRPr="00C33E5A">
            <w:rPr>
              <w:b/>
              <w:i/>
              <w:szCs w:val="24"/>
              <w:lang w:val="sq-AL" w:eastAsia="sq-AL"/>
            </w:rPr>
            <w:t xml:space="preserve"> </w:t>
          </w:r>
          <w:r w:rsidR="00056B7A" w:rsidRPr="00C33E5A">
            <w:rPr>
              <w:b/>
              <w:i/>
              <w:szCs w:val="24"/>
              <w:lang w:val="sq-AL" w:eastAsia="sq-AL"/>
            </w:rPr>
            <w:t>(b)</w:t>
          </w:r>
          <w:r w:rsidR="00056B7A" w:rsidRPr="00C33E5A">
            <w:rPr>
              <w:szCs w:val="24"/>
              <w:lang w:val="sq-AL" w:eastAsia="sq-AL"/>
            </w:rPr>
            <w:t xml:space="preserve"> </w:t>
          </w:r>
          <w:r w:rsidR="006A2573" w:rsidRPr="00C33E5A">
            <w:rPr>
              <w:szCs w:val="24"/>
              <w:lang w:val="sq-AL" w:eastAsia="sq-AL"/>
            </w:rPr>
            <w:t>Kriteret për emërimin e përmbaruesit gjyqësor shtetëror nuk janë të parashikuara tërësisht nga ligji në përputhje me kërkesat e objektivitetit dhe meritokracisë. Në ligjin organik (ligji nr. 8730/2001 i sipërcituar), neni 15, përcakton si kusht rekrutimi të permbaruesit pas diplomimit në drejtësi. Neni 16 përcakton  ndje</w:t>
          </w:r>
          <w:r w:rsidR="00106246">
            <w:rPr>
              <w:szCs w:val="24"/>
              <w:lang w:val="sq-AL" w:eastAsia="sq-AL"/>
            </w:rPr>
            <w:t xml:space="preserve">kjen e “trajnimit profesional” </w:t>
          </w:r>
          <w:r w:rsidR="006A2573" w:rsidRPr="00C33E5A">
            <w:rPr>
              <w:szCs w:val="24"/>
              <w:lang w:val="sq-AL" w:eastAsia="sq-AL"/>
            </w:rPr>
            <w:t xml:space="preserve">në varësi të statusit  të tij, “periudhe 3 mujore prove” dhe nëse rezultati i kësaj periudhe prove është pozitiv, ai emërohet përmbarues gjyqësor. Gjatë periudhës së provës, përmbaruesi i emëruar përkohësisht lihet nën kujdesin e një përmbaruesi më me eksperiencë në detyrë. Gjithashtu, gjatë kësaj periudhe trajnimi është i detyrueshme për përmbaruesin gjyqësor dhe në fund të saj vendoset emërimi përfundimtar ose largimi i tij, nga shërbimi i përmbarimit gjyqësor shtetëror. Në rastin e largimit, personi gëzon statusin e përmbaruesit gjyqësor vetëm gjatë periudhës së provës.  Kjo periudhë prove është e pamjaftueshme që përmbaruesi gjyqësor shtetëror të fitojë njohuritë dhe eksperiencën bazë për të ushtruar apo t’u përballur me funksionin me përgjegjshmërinë, dhe profesionalizmin që kërkon.  Personat e rinj në profesion, normalisht, përpara rekrutimit, duhet të kenë përvoje pune, por kjo nuk duhet të kufizohet vetëm me eksperiencat profesionale që lidhen me ekzekutimin dhe procedurat përmbarimore. </w:t>
          </w:r>
          <w:r w:rsidR="00056B7A" w:rsidRPr="00C33E5A">
            <w:rPr>
              <w:b/>
              <w:i/>
              <w:szCs w:val="24"/>
              <w:lang w:val="sq-AL" w:eastAsia="sq-AL"/>
            </w:rPr>
            <w:t>(c)</w:t>
          </w:r>
          <w:r w:rsidR="00056B7A" w:rsidRPr="00C33E5A">
            <w:rPr>
              <w:szCs w:val="24"/>
              <w:lang w:val="sq-AL" w:eastAsia="sq-AL"/>
            </w:rPr>
            <w:t xml:space="preserve"> </w:t>
          </w:r>
          <w:r w:rsidR="006A2573" w:rsidRPr="00C33E5A">
            <w:rPr>
              <w:szCs w:val="24"/>
              <w:lang w:val="sq-AL" w:eastAsia="sq-AL"/>
            </w:rPr>
            <w:t>Nga ana tjetër, është thelbësore përditësimi i njohurive dhe forcimi i kompetencave dhe aftësive profesionale, përmes trajnimeve vazhduese të përshtatshme për përmbaruesit gjyqësorë shtetërorë pas e</w:t>
          </w:r>
          <w:r w:rsidR="00056B7A" w:rsidRPr="00C33E5A">
            <w:rPr>
              <w:szCs w:val="24"/>
              <w:lang w:val="sq-AL" w:eastAsia="sq-AL"/>
            </w:rPr>
            <w:t xml:space="preserve">mërimit përfundimtar në </w:t>
          </w:r>
          <w:r w:rsidR="00BE4E20">
            <w:rPr>
              <w:szCs w:val="24"/>
              <w:lang w:val="sq-AL" w:eastAsia="sq-AL"/>
            </w:rPr>
            <w:t>detyrë, por nuk gjendet e rregu</w:t>
          </w:r>
          <w:r w:rsidR="00056B7A" w:rsidRPr="00C33E5A">
            <w:rPr>
              <w:szCs w:val="24"/>
              <w:lang w:val="sq-AL" w:eastAsia="sq-AL"/>
            </w:rPr>
            <w:t xml:space="preserve">lluar nga legjislacioni në fuqi. </w:t>
          </w:r>
          <w:r w:rsidR="006A2573" w:rsidRPr="00C33E5A">
            <w:rPr>
              <w:szCs w:val="24"/>
              <w:lang w:val="sq-AL" w:eastAsia="sq-AL"/>
            </w:rPr>
            <w:t>Forcimi i nivelit të njohurive përmes edukimit të vazhdueshëm është pjesë e rëndësishme e përmirësimit, sidomos të aftësisë për të zbatuar njohuritë e fituara në praktikën profesionale. Ndonëse një profesionist nuk mund t’i fitojë të gjitha aftësitë që i duhen, përmes trajnimit, duke qenë se sfidat me të cilat përballet çdo ditë ndryshojnë nga njëra tjetra, por ndihmon në mënyrë thelbësore në forcimin e kapataciteteve profesionale dhe praktike.  Ligji në fuqi nuk parashikon shprehimisht qartë dhe mjaftueshëm çështjen e trajnimit të vazhdueshëm për përmbaruesit gjyqësor shtetëror</w:t>
          </w:r>
          <w:r w:rsidR="00056B7A" w:rsidRPr="00C33E5A">
            <w:rPr>
              <w:szCs w:val="24"/>
              <w:lang w:val="sq-AL" w:eastAsia="sq-AL"/>
            </w:rPr>
            <w:t xml:space="preserve">. </w:t>
          </w:r>
          <w:r w:rsidR="00056B7A" w:rsidRPr="00C33E5A">
            <w:rPr>
              <w:b/>
              <w:i/>
              <w:szCs w:val="24"/>
              <w:lang w:val="sq-AL" w:eastAsia="sq-AL"/>
            </w:rPr>
            <w:t>(ç)</w:t>
          </w:r>
          <w:r w:rsidR="00056B7A" w:rsidRPr="00C33E5A">
            <w:rPr>
              <w:szCs w:val="24"/>
              <w:lang w:val="sq-AL" w:eastAsia="sq-AL"/>
            </w:rPr>
            <w:t xml:space="preserve"> </w:t>
          </w:r>
          <w:r w:rsidR="006A2573" w:rsidRPr="00C33E5A">
            <w:rPr>
              <w:szCs w:val="24"/>
              <w:lang w:val="sq-AL" w:eastAsia="sq-AL"/>
            </w:rPr>
            <w:t xml:space="preserve">Praktika ka evidentuar se procesi i rekrutimit të përmbaruesve gjyqësorë shtetërorë nuk ka rezultuar një proces efikas për shërbimin, kjo për faktin e mospjesmarrjes së kandidatëve në procedurat konkuruese e për rrjedhojë mosplotësimin e vendeve vakante, kandidatët pjesëmarrës në konkurs kanë qënë me një nivel të pakët njohurish, kandidatët që evidentohen më një nivel të pranueshëm njohurish konkurrojnë për ta patur si eksperiencë pune për të kaluar më pas në një profesion tjetër dhe përmbaruesit e rinj të rekrutuar janë larguar nga detyra me dorëheqje, për shkak të ngarkesës së punës, dinamikës së ekzekutimit të titujve ekzekutivë dhe kohës së pamjaftueshme për të fituar njohuritë dhe eksperiencën për tu përballur me përgjegjësinë e funksionit të </w:t>
          </w:r>
          <w:r w:rsidR="006A2573" w:rsidRPr="00C33E5A">
            <w:rPr>
              <w:szCs w:val="24"/>
              <w:lang w:val="sq-AL" w:eastAsia="sq-AL"/>
            </w:rPr>
            <w:lastRenderedPageBreak/>
            <w:t xml:space="preserve">përmbaruesit gjyqësor si subjekt i marrëdhënies juridike civile. </w:t>
          </w:r>
          <w:r w:rsidR="00C524F2" w:rsidRPr="00C33E5A">
            <w:rPr>
              <w:b/>
              <w:i/>
              <w:szCs w:val="24"/>
              <w:lang w:val="sq-AL" w:eastAsia="sq-AL"/>
            </w:rPr>
            <w:t>(d)</w:t>
          </w:r>
          <w:r w:rsidR="00C524F2" w:rsidRPr="00C33E5A">
            <w:rPr>
              <w:szCs w:val="24"/>
              <w:lang w:val="sq-AL" w:eastAsia="sq-AL"/>
            </w:rPr>
            <w:t xml:space="preserve"> </w:t>
          </w:r>
          <w:r w:rsidR="006A2573" w:rsidRPr="00C33E5A">
            <w:rPr>
              <w:szCs w:val="24"/>
              <w:lang w:val="sq-AL" w:eastAsia="sq-AL"/>
            </w:rPr>
            <w:t xml:space="preserve">Ligji nuk parashikon procedura të qarta lidhur me komandimin e përmbaruesve gjyqësorë shtetërorë për nevoja pune në pozicionin e inspektorit në strukturën përgjegjëse të inspektimit në Drejtorinë e Përgjithshme të Përmbarimit ose në zyra të tjera përmbarimore për ekzekutimin e një apo disa titujve ekzekutivë. </w:t>
          </w:r>
          <w:r w:rsidR="00C41DEF" w:rsidRPr="00C33E5A">
            <w:rPr>
              <w:b/>
              <w:i/>
              <w:szCs w:val="24"/>
              <w:lang w:val="sq-AL" w:eastAsia="sq-AL"/>
            </w:rPr>
            <w:t>(dh)</w:t>
          </w:r>
          <w:r w:rsidR="00C41DEF" w:rsidRPr="00C33E5A">
            <w:rPr>
              <w:szCs w:val="24"/>
              <w:lang w:val="sq-AL" w:eastAsia="sq-AL"/>
            </w:rPr>
            <w:t xml:space="preserve"> </w:t>
          </w:r>
          <w:r w:rsidR="006A2573" w:rsidRPr="00C33E5A">
            <w:rPr>
              <w:szCs w:val="24"/>
              <w:lang w:val="sq-AL" w:eastAsia="sq-AL"/>
            </w:rPr>
            <w:t>E njëjta problematikë shfaqet edhe me institutin e transferimit të përhershëm dh</w:t>
          </w:r>
          <w:r w:rsidR="00C41DEF" w:rsidRPr="00C33E5A">
            <w:rPr>
              <w:szCs w:val="24"/>
              <w:lang w:val="sq-AL" w:eastAsia="sq-AL"/>
            </w:rPr>
            <w:t xml:space="preserve">e të përkohshëm të tyre, pasi mungojnë </w:t>
          </w:r>
          <w:r w:rsidR="006A2573" w:rsidRPr="00C33E5A">
            <w:rPr>
              <w:szCs w:val="24"/>
              <w:lang w:val="sq-AL" w:eastAsia="sq-AL"/>
            </w:rPr>
            <w:t xml:space="preserve">rregulla të qarta për rastet e komandimit e të tranferimit, procedurën, kohëzgjatjen e tyre, si dhe organin kompetent për dhënien e tyre. </w:t>
          </w:r>
          <w:r w:rsidR="00C41DEF" w:rsidRPr="00C33E5A">
            <w:rPr>
              <w:b/>
              <w:i/>
              <w:szCs w:val="24"/>
              <w:lang w:val="sq-AL" w:eastAsia="sq-AL"/>
            </w:rPr>
            <w:t>(e)</w:t>
          </w:r>
          <w:r w:rsidR="00C41DEF" w:rsidRPr="00C33E5A">
            <w:rPr>
              <w:szCs w:val="24"/>
              <w:lang w:val="sq-AL" w:eastAsia="sq-AL"/>
            </w:rPr>
            <w:t xml:space="preserve"> </w:t>
          </w:r>
          <w:r w:rsidR="006A2573" w:rsidRPr="00C33E5A">
            <w:rPr>
              <w:szCs w:val="24"/>
              <w:lang w:val="sq-AL" w:eastAsia="sq-AL"/>
            </w:rPr>
            <w:t>Ligji në fuqi përmban një renditje dhe klasifikim konfuz të shkeljeve disiplinore, të cilat nuk i përgjigjen parashikimit të përshkallëzuar, ezaurues e të qartë të shkeljeve disiplinore sipas llojit dhe rëndësisë së tyre. Gjithashtu, gama e sa</w:t>
          </w:r>
          <w:r w:rsidR="00056B7A" w:rsidRPr="00C33E5A">
            <w:rPr>
              <w:szCs w:val="24"/>
              <w:lang w:val="sq-AL" w:eastAsia="sq-AL"/>
            </w:rPr>
            <w:t>nksioneve disiplinore është rela</w:t>
          </w:r>
          <w:r w:rsidR="006A2573" w:rsidRPr="00C33E5A">
            <w:rPr>
              <w:szCs w:val="24"/>
              <w:lang w:val="sq-AL" w:eastAsia="sq-AL"/>
            </w:rPr>
            <w:t>tivisht e vogël dhe, si e tillë nuk lejon përcaktim</w:t>
          </w:r>
          <w:r w:rsidR="00056B7A" w:rsidRPr="00C33E5A">
            <w:rPr>
              <w:szCs w:val="24"/>
              <w:lang w:val="sq-AL" w:eastAsia="sq-AL"/>
            </w:rPr>
            <w:t>in e sanksioneve proporcionale.</w:t>
          </w:r>
          <w:r w:rsidR="006A2573" w:rsidRPr="00C33E5A">
            <w:rPr>
              <w:szCs w:val="24"/>
              <w:lang w:val="sq-AL" w:eastAsia="sq-AL"/>
            </w:rPr>
            <w:t xml:space="preserve"> </w:t>
          </w:r>
          <w:r w:rsidR="000E2DF8" w:rsidRPr="00C33E5A">
            <w:rPr>
              <w:b/>
              <w:i/>
              <w:szCs w:val="24"/>
              <w:lang w:val="sq-AL" w:eastAsia="sq-AL"/>
            </w:rPr>
            <w:t>(ë)</w:t>
          </w:r>
          <w:r w:rsidR="000E2DF8" w:rsidRPr="00C33E5A">
            <w:rPr>
              <w:szCs w:val="24"/>
              <w:lang w:val="sq-AL" w:eastAsia="sq-AL"/>
            </w:rPr>
            <w:t xml:space="preserve"> </w:t>
          </w:r>
          <w:r w:rsidR="006A2573" w:rsidRPr="00C33E5A">
            <w:rPr>
              <w:szCs w:val="24"/>
              <w:lang w:val="sq-AL" w:eastAsia="sq-AL"/>
            </w:rPr>
            <w:t xml:space="preserve">Paga dhe trajtimi financiar aktual i përmbaruesit gjyqësor shtetëror jo vetëm që nuk i përgjigjet nevojave të integrimit social të tij dhe të familjes së tij në shoqëri, por as statusit të përmbaruesit, natyrës së përgjegjësisë së funksionit, vështirësive në përmbushjen e tij, ngarkesën e madhe të çështjeve për ekzekutim, numrin e lartë të papajtueshmërive me funksionin, si dhe nevojës për t’u mbrojtur nga presionet që për vetë dinamikën e çështjeve nuk janë të pakta dhe nga sjelljet e tyre në tërësi. </w:t>
          </w:r>
          <w:r w:rsidR="006D4F7D" w:rsidRPr="00C33E5A">
            <w:rPr>
              <w:b/>
              <w:i/>
              <w:szCs w:val="24"/>
              <w:lang w:val="sq-AL" w:eastAsia="sq-AL"/>
            </w:rPr>
            <w:t>(f)</w:t>
          </w:r>
          <w:r w:rsidR="006D4F7D" w:rsidRPr="00C33E5A">
            <w:rPr>
              <w:szCs w:val="24"/>
              <w:lang w:val="sq-AL" w:eastAsia="sq-AL"/>
            </w:rPr>
            <w:t xml:space="preserve"> </w:t>
          </w:r>
          <w:r w:rsidR="006A2573" w:rsidRPr="00C33E5A">
            <w:rPr>
              <w:szCs w:val="24"/>
              <w:lang w:val="sq-AL" w:eastAsia="sq-AL"/>
            </w:rPr>
            <w:t>Ligji në fuqi nuk parashikon përfitime të posaçme financiare apo forma të tjera shpërblimi/kompensimi efektiv për përmbaruesit gjyqësorë që caktohen të ushtrojnë detyrën jashtë zyrës</w:t>
          </w:r>
          <w:r w:rsidR="006D4F7D" w:rsidRPr="00C33E5A">
            <w:rPr>
              <w:szCs w:val="24"/>
              <w:lang w:val="sq-AL" w:eastAsia="sq-AL"/>
            </w:rPr>
            <w:t xml:space="preserve"> përmbarimore ku kanë emërimin. </w:t>
          </w:r>
          <w:r w:rsidR="006D4F7D" w:rsidRPr="00C33E5A">
            <w:rPr>
              <w:b/>
              <w:i/>
              <w:szCs w:val="24"/>
              <w:lang w:val="sq-AL" w:eastAsia="sq-AL"/>
            </w:rPr>
            <w:t>(g)</w:t>
          </w:r>
          <w:r w:rsidR="006D4F7D" w:rsidRPr="00C33E5A">
            <w:rPr>
              <w:szCs w:val="24"/>
              <w:lang w:val="sq-AL" w:eastAsia="sq-AL"/>
            </w:rPr>
            <w:t xml:space="preserve"> </w:t>
          </w:r>
          <w:r w:rsidR="006A2573" w:rsidRPr="00C33E5A">
            <w:rPr>
              <w:szCs w:val="24"/>
              <w:lang w:val="sq-AL" w:eastAsia="sq-AL"/>
            </w:rPr>
            <w:t>Po kështu, mungojnë mekanizmat efikas të llogaridhënies dhe përgjegjshmërisë për të shmangur ndërhyrjet e papërshtashme</w:t>
          </w:r>
          <w:r w:rsidR="00EA49FD">
            <w:rPr>
              <w:szCs w:val="24"/>
              <w:lang w:val="sq-AL" w:eastAsia="sq-AL"/>
            </w:rPr>
            <w:t xml:space="preserve"> në veprimtarinë përmbarimore. </w:t>
          </w:r>
          <w:r w:rsidR="008D5EAF" w:rsidRPr="00C33E5A">
            <w:rPr>
              <w:rStyle w:val="Strong"/>
              <w:color w:val="000000" w:themeColor="text1"/>
              <w:szCs w:val="24"/>
              <w:lang w:val="sq-AL"/>
            </w:rPr>
            <w:t xml:space="preserve">Grupet e prekura nga </w:t>
          </w:r>
          <w:r w:rsidR="00196CDF" w:rsidRPr="00C33E5A">
            <w:rPr>
              <w:rStyle w:val="Strong"/>
              <w:color w:val="000000" w:themeColor="text1"/>
              <w:szCs w:val="24"/>
              <w:lang w:val="sq-AL"/>
            </w:rPr>
            <w:t xml:space="preserve">problematikat e shtjelluara më sipër </w:t>
          </w:r>
          <w:r w:rsidR="008D5EAF" w:rsidRPr="00C33E5A">
            <w:rPr>
              <w:rStyle w:val="Strong"/>
              <w:color w:val="000000" w:themeColor="text1"/>
              <w:szCs w:val="24"/>
              <w:lang w:val="sq-AL"/>
            </w:rPr>
            <w:t>janë</w:t>
          </w:r>
          <w:r w:rsidR="00EA49FD">
            <w:rPr>
              <w:rStyle w:val="Strong"/>
              <w:color w:val="000000" w:themeColor="text1"/>
              <w:szCs w:val="24"/>
              <w:lang w:val="sq-AL"/>
            </w:rPr>
            <w:t xml:space="preserve">: </w:t>
          </w:r>
          <w:r w:rsidR="00EA49FD" w:rsidRPr="00A863FA">
            <w:rPr>
              <w:rStyle w:val="Strong"/>
              <w:i/>
              <w:color w:val="000000" w:themeColor="text1"/>
              <w:szCs w:val="24"/>
              <w:lang w:val="sq-AL"/>
            </w:rPr>
            <w:t>(i)</w:t>
          </w:r>
          <w:r w:rsidR="008D5EAF" w:rsidRPr="00FC758B">
            <w:rPr>
              <w:rStyle w:val="Strong"/>
              <w:b w:val="0"/>
              <w:color w:val="000000" w:themeColor="text1"/>
              <w:szCs w:val="24"/>
              <w:lang w:val="sq-AL"/>
            </w:rPr>
            <w:t xml:space="preserve"> </w:t>
          </w:r>
          <w:r w:rsidR="00C653F7" w:rsidRPr="00FC758B">
            <w:rPr>
              <w:rStyle w:val="Strong"/>
              <w:b w:val="0"/>
              <w:color w:val="000000" w:themeColor="text1"/>
              <w:szCs w:val="24"/>
              <w:lang w:val="sq-AL"/>
            </w:rPr>
            <w:t xml:space="preserve">përmbaruesit gjyqësorë shtetërorë </w:t>
          </w:r>
          <w:r w:rsidR="008D5EAF" w:rsidRPr="00FC758B">
            <w:rPr>
              <w:rStyle w:val="Strong"/>
              <w:b w:val="0"/>
              <w:color w:val="000000" w:themeColor="text1"/>
              <w:szCs w:val="24"/>
              <w:lang w:val="sq-AL"/>
            </w:rPr>
            <w:t>që aktualisht</w:t>
          </w:r>
          <w:r w:rsidR="00C653F7" w:rsidRPr="00FC758B">
            <w:rPr>
              <w:rStyle w:val="Strong"/>
              <w:b w:val="0"/>
              <w:color w:val="000000" w:themeColor="text1"/>
              <w:szCs w:val="24"/>
              <w:lang w:val="sq-AL"/>
            </w:rPr>
            <w:t xml:space="preserve"> ushtrojnë detyrat e tyre</w:t>
          </w:r>
          <w:r w:rsidR="008D5EAF" w:rsidRPr="00FC758B">
            <w:rPr>
              <w:rStyle w:val="Strong"/>
              <w:b w:val="0"/>
              <w:color w:val="000000" w:themeColor="text1"/>
              <w:szCs w:val="24"/>
              <w:lang w:val="sq-AL"/>
            </w:rPr>
            <w:t xml:space="preserve">, </w:t>
          </w:r>
          <w:r w:rsidR="00EA49FD" w:rsidRPr="00A863FA">
            <w:rPr>
              <w:rStyle w:val="Strong"/>
              <w:i/>
              <w:color w:val="000000" w:themeColor="text1"/>
              <w:szCs w:val="24"/>
              <w:lang w:val="sq-AL"/>
            </w:rPr>
            <w:t>(ii)</w:t>
          </w:r>
          <w:r w:rsidR="00EA49FD" w:rsidRPr="00FC758B">
            <w:rPr>
              <w:rStyle w:val="Strong"/>
              <w:b w:val="0"/>
              <w:color w:val="000000" w:themeColor="text1"/>
              <w:szCs w:val="24"/>
              <w:lang w:val="sq-AL"/>
            </w:rPr>
            <w:t xml:space="preserve"> </w:t>
          </w:r>
          <w:r w:rsidR="00A863FA">
            <w:rPr>
              <w:rStyle w:val="Strong"/>
              <w:b w:val="0"/>
              <w:color w:val="000000" w:themeColor="text1"/>
              <w:szCs w:val="24"/>
              <w:lang w:val="sq-AL"/>
            </w:rPr>
            <w:t>shteti (kupto:</w:t>
          </w:r>
          <w:r w:rsidR="008D5EAF" w:rsidRPr="00FC758B">
            <w:rPr>
              <w:rStyle w:val="Strong"/>
              <w:b w:val="0"/>
              <w:color w:val="000000" w:themeColor="text1"/>
              <w:szCs w:val="24"/>
              <w:lang w:val="sq-AL"/>
            </w:rPr>
            <w:t xml:space="preserve">institucionet shtetërore dhe publike) </w:t>
          </w:r>
          <w:r w:rsidR="00847BEB" w:rsidRPr="00FC758B">
            <w:rPr>
              <w:rStyle w:val="Strong"/>
              <w:b w:val="0"/>
              <w:color w:val="000000" w:themeColor="text1"/>
              <w:szCs w:val="24"/>
              <w:lang w:val="sq-AL"/>
            </w:rPr>
            <w:t>për shkak të ngërçeve dhe problematikave ligjore në lidhje me organizimin dhe funksionimin e shërbimit përmbarimor shtetëror dhe bashkëpunimit ndë</w:t>
          </w:r>
          <w:r w:rsidR="007E02C4" w:rsidRPr="00FC758B">
            <w:rPr>
              <w:rStyle w:val="Strong"/>
              <w:b w:val="0"/>
              <w:color w:val="000000" w:themeColor="text1"/>
              <w:szCs w:val="24"/>
              <w:lang w:val="sq-AL"/>
            </w:rPr>
            <w:t>rmjet</w:t>
          </w:r>
          <w:r w:rsidR="00847BEB" w:rsidRPr="00FC758B">
            <w:rPr>
              <w:rStyle w:val="Strong"/>
              <w:b w:val="0"/>
              <w:color w:val="000000" w:themeColor="text1"/>
              <w:szCs w:val="24"/>
              <w:lang w:val="sq-AL"/>
            </w:rPr>
            <w:t xml:space="preserve"> tyre </w:t>
          </w:r>
          <w:r w:rsidR="007E02C4" w:rsidRPr="00FC758B">
            <w:rPr>
              <w:rStyle w:val="Strong"/>
              <w:b w:val="0"/>
              <w:color w:val="000000" w:themeColor="text1"/>
              <w:szCs w:val="24"/>
              <w:lang w:val="sq-AL"/>
            </w:rPr>
            <w:t xml:space="preserve">dhe përmbaruesve gjyqësorë shtetërorë në ekzekutimin e titujve ekzekutivë </w:t>
          </w:r>
          <w:r w:rsidR="008D5EAF" w:rsidRPr="00FC758B">
            <w:rPr>
              <w:rStyle w:val="Strong"/>
              <w:b w:val="0"/>
              <w:color w:val="000000" w:themeColor="text1"/>
              <w:szCs w:val="24"/>
              <w:lang w:val="sq-AL"/>
            </w:rPr>
            <w:t xml:space="preserve">dhe </w:t>
          </w:r>
          <w:r w:rsidR="00EA49FD" w:rsidRPr="00A863FA">
            <w:rPr>
              <w:rStyle w:val="Strong"/>
              <w:color w:val="000000" w:themeColor="text1"/>
              <w:szCs w:val="24"/>
              <w:lang w:val="sq-AL"/>
            </w:rPr>
            <w:t>(</w:t>
          </w:r>
          <w:r w:rsidR="00EA49FD" w:rsidRPr="00A863FA">
            <w:rPr>
              <w:rStyle w:val="Strong"/>
              <w:i/>
              <w:color w:val="000000" w:themeColor="text1"/>
              <w:szCs w:val="24"/>
              <w:lang w:val="sq-AL"/>
            </w:rPr>
            <w:t>ii</w:t>
          </w:r>
          <w:r w:rsidR="00A863FA" w:rsidRPr="00A863FA">
            <w:rPr>
              <w:rStyle w:val="Strong"/>
              <w:i/>
              <w:color w:val="000000" w:themeColor="text1"/>
              <w:szCs w:val="24"/>
              <w:lang w:val="sq-AL"/>
            </w:rPr>
            <w:t>i</w:t>
          </w:r>
          <w:r w:rsidR="00EA49FD" w:rsidRPr="00A863FA">
            <w:rPr>
              <w:rStyle w:val="Strong"/>
              <w:i/>
              <w:color w:val="000000" w:themeColor="text1"/>
              <w:szCs w:val="24"/>
              <w:lang w:val="sq-AL"/>
            </w:rPr>
            <w:t>)</w:t>
          </w:r>
          <w:r w:rsidR="00EA49FD" w:rsidRPr="00A863FA">
            <w:rPr>
              <w:rStyle w:val="Strong"/>
              <w:b w:val="0"/>
              <w:i/>
              <w:color w:val="000000" w:themeColor="text1"/>
              <w:szCs w:val="24"/>
              <w:lang w:val="sq-AL"/>
            </w:rPr>
            <w:t xml:space="preserve"> </w:t>
          </w:r>
          <w:r w:rsidR="00EA49FD" w:rsidRPr="00FC758B">
            <w:rPr>
              <w:bCs/>
              <w:iCs/>
              <w:szCs w:val="24"/>
              <w:lang w:val="sq-AL" w:bidi="en-US"/>
            </w:rPr>
            <w:t>q</w:t>
          </w:r>
          <w:r w:rsidR="008D5EAF" w:rsidRPr="00FC758B">
            <w:rPr>
              <w:bCs/>
              <w:iCs/>
              <w:szCs w:val="24"/>
              <w:lang w:val="sq-AL" w:bidi="en-US"/>
            </w:rPr>
            <w:t>ytetarët</w:t>
          </w:r>
          <w:r w:rsidR="00FC758B">
            <w:rPr>
              <w:bCs/>
              <w:iCs/>
              <w:szCs w:val="24"/>
              <w:lang w:val="sq-AL" w:bidi="en-US"/>
            </w:rPr>
            <w:t xml:space="preserve"> </w:t>
          </w:r>
          <w:r w:rsidR="008D5EAF" w:rsidRPr="00FC758B">
            <w:rPr>
              <w:bCs/>
              <w:i/>
              <w:iCs/>
              <w:szCs w:val="24"/>
              <w:lang w:val="sq-AL" w:bidi="en-US"/>
            </w:rPr>
            <w:t>-</w:t>
          </w:r>
          <w:r w:rsidR="00FC758B">
            <w:rPr>
              <w:bCs/>
              <w:i/>
              <w:iCs/>
              <w:szCs w:val="24"/>
              <w:lang w:val="sq-AL" w:bidi="en-US"/>
            </w:rPr>
            <w:t xml:space="preserve"> </w:t>
          </w:r>
          <w:r w:rsidR="00FC758B">
            <w:rPr>
              <w:bCs/>
              <w:iCs/>
              <w:szCs w:val="24"/>
              <w:lang w:val="sq-AL" w:bidi="en-US"/>
            </w:rPr>
            <w:t>m</w:t>
          </w:r>
          <w:r w:rsidR="008D5EAF" w:rsidRPr="00C33E5A">
            <w:rPr>
              <w:bCs/>
              <w:iCs/>
              <w:szCs w:val="24"/>
              <w:lang w:val="sq-AL" w:bidi="en-US"/>
            </w:rPr>
            <w:t xml:space="preserve">e anë të kësaj nisme ligjore synohet që </w:t>
          </w:r>
          <w:r w:rsidR="008D5EAF" w:rsidRPr="00C33E5A">
            <w:rPr>
              <w:color w:val="000000"/>
              <w:szCs w:val="24"/>
              <w:lang w:val="sq-AL"/>
            </w:rPr>
            <w:t xml:space="preserve">rritja e besimit të shoqërisë për rolin e </w:t>
          </w:r>
          <w:r w:rsidR="00EA49FD">
            <w:rPr>
              <w:color w:val="000000"/>
              <w:szCs w:val="24"/>
              <w:lang w:val="sq-AL"/>
            </w:rPr>
            <w:t xml:space="preserve">përmbaruesit gjyqësorë shtetërorë dhe </w:t>
          </w:r>
          <w:r w:rsidR="00A863FA">
            <w:rPr>
              <w:color w:val="000000"/>
              <w:szCs w:val="24"/>
              <w:lang w:val="sq-AL"/>
            </w:rPr>
            <w:t xml:space="preserve">në </w:t>
          </w:r>
          <w:r w:rsidR="00EA49FD">
            <w:rPr>
              <w:color w:val="000000"/>
              <w:szCs w:val="24"/>
              <w:lang w:val="sq-AL"/>
            </w:rPr>
            <w:t>aftësitë e tyre për kryerjen e të gjitha veprimeve ligjore në funksion të ekzekutimit të dosjeve të tyre gjyqësore dhe realizimit të së drejtave të palëve kreditore</w:t>
          </w:r>
          <w:r w:rsidR="008D5EAF" w:rsidRPr="00C33E5A">
            <w:rPr>
              <w:szCs w:val="24"/>
              <w:lang w:val="sq-AL"/>
            </w:rPr>
            <w:t xml:space="preserve"> </w:t>
          </w:r>
          <w:r w:rsidR="008D5EAF" w:rsidRPr="00C33E5A">
            <w:rPr>
              <w:b/>
              <w:bCs/>
              <w:szCs w:val="24"/>
              <w:u w:val="single"/>
              <w:lang w:val="sq-AL" w:bidi="en-US"/>
            </w:rPr>
            <w:t>Qeveria</w:t>
          </w:r>
          <w:r w:rsidR="008D5EAF" w:rsidRPr="00C33E5A">
            <w:rPr>
              <w:i/>
              <w:iCs/>
              <w:szCs w:val="24"/>
              <w:u w:val="single"/>
              <w:lang w:val="sq-AL" w:bidi="en-US"/>
            </w:rPr>
            <w:t>-</w:t>
          </w:r>
          <w:r w:rsidR="008D5EAF" w:rsidRPr="00C33E5A">
            <w:rPr>
              <w:szCs w:val="24"/>
              <w:lang w:val="sq-AL" w:bidi="en-US"/>
            </w:rPr>
            <w:t xml:space="preserve"> Miratimi i këtij projektligji vjen </w:t>
          </w:r>
          <w:r w:rsidR="004E67A7">
            <w:rPr>
              <w:szCs w:val="24"/>
              <w:lang w:val="sq-AL" w:bidi="en-US"/>
            </w:rPr>
            <w:t xml:space="preserve">në kuadër të përmbushjes së prioritetit të qeverisë shqiptare për </w:t>
          </w:r>
          <w:r w:rsidR="00BB121C">
            <w:rPr>
              <w:szCs w:val="24"/>
              <w:lang w:val="sq-AL" w:bidi="en-US"/>
            </w:rPr>
            <w:t>reformimin në tërësi të</w:t>
          </w:r>
          <w:r w:rsidR="004E67A7">
            <w:rPr>
              <w:szCs w:val="24"/>
              <w:lang w:val="sq-AL" w:bidi="en-US"/>
            </w:rPr>
            <w:t xml:space="preserve"> shërbimit përmbarimor gjyq</w:t>
          </w:r>
          <w:r w:rsidR="00A863FA">
            <w:rPr>
              <w:szCs w:val="24"/>
              <w:lang w:val="sq-AL" w:bidi="en-US"/>
            </w:rPr>
            <w:t>ë</w:t>
          </w:r>
          <w:r w:rsidR="004E67A7">
            <w:rPr>
              <w:szCs w:val="24"/>
              <w:lang w:val="sq-AL" w:bidi="en-US"/>
            </w:rPr>
            <w:t>sor shtetë</w:t>
          </w:r>
          <w:r w:rsidR="002E6BBE">
            <w:rPr>
              <w:szCs w:val="24"/>
              <w:lang w:val="sq-AL" w:bidi="en-US"/>
            </w:rPr>
            <w:t>ror dhe kons</w:t>
          </w:r>
          <w:r w:rsidR="004E67A7">
            <w:rPr>
              <w:szCs w:val="24"/>
              <w:lang w:val="sq-AL" w:bidi="en-US"/>
            </w:rPr>
            <w:t xml:space="preserve">olidimit të Reformës në Drejtësi, duke synuar eliminimin e problematikave që vijnë </w:t>
          </w:r>
          <w:r w:rsidR="002E6BBE">
            <w:rPr>
              <w:szCs w:val="24"/>
              <w:lang w:val="sq-AL" w:bidi="en-US"/>
            </w:rPr>
            <w:t xml:space="preserve">nga zvarritja e </w:t>
          </w:r>
          <w:r w:rsidR="00BB121C">
            <w:rPr>
              <w:szCs w:val="24"/>
              <w:lang w:val="sq-AL" w:bidi="en-US"/>
            </w:rPr>
            <w:t xml:space="preserve">procesit të </w:t>
          </w:r>
          <w:r w:rsidR="002E6BBE">
            <w:rPr>
              <w:szCs w:val="24"/>
              <w:lang w:val="sq-AL" w:bidi="en-US"/>
            </w:rPr>
            <w:t xml:space="preserve">ekzekutimit të vendimeve gjyqësore dhe mosjetësimit të së drejtave të fituara gjyqësisht nga qytetarët e këtij vendi. </w:t>
          </w:r>
          <w:r w:rsidR="008D5EAF" w:rsidRPr="00C33E5A">
            <w:rPr>
              <w:rStyle w:val="Strong"/>
              <w:szCs w:val="24"/>
              <w:lang w:val="sq-AL"/>
            </w:rPr>
            <w:t>Problem</w:t>
          </w:r>
          <w:r w:rsidR="00BB121C">
            <w:rPr>
              <w:rStyle w:val="Strong"/>
              <w:szCs w:val="24"/>
              <w:lang w:val="sq-AL"/>
            </w:rPr>
            <w:t>atikat e evidentuara më sipër që shfaqen në shërbimin përmbarimor gjyqësor shtetëror mund dhe duhet të trajtohen</w:t>
          </w:r>
          <w:r w:rsidR="008D5EAF" w:rsidRPr="00C33E5A">
            <w:rPr>
              <w:rStyle w:val="Strong"/>
              <w:szCs w:val="24"/>
              <w:lang w:val="sq-AL"/>
            </w:rPr>
            <w:t xml:space="preserve"> përmes </w:t>
          </w:r>
          <w:r w:rsidR="00BB121C">
            <w:rPr>
              <w:rStyle w:val="Strong"/>
              <w:szCs w:val="24"/>
              <w:lang w:val="sq-AL"/>
            </w:rPr>
            <w:t>miratimit të një ligji</w:t>
          </w:r>
          <w:r w:rsidR="008D5EAF" w:rsidRPr="00C33E5A">
            <w:rPr>
              <w:rStyle w:val="Strong"/>
              <w:szCs w:val="24"/>
              <w:lang w:val="sq-AL"/>
            </w:rPr>
            <w:t xml:space="preserve"> </w:t>
          </w:r>
          <w:r w:rsidR="00BB121C">
            <w:rPr>
              <w:rStyle w:val="Strong"/>
              <w:szCs w:val="24"/>
              <w:lang w:val="sq-AL"/>
            </w:rPr>
            <w:t>të ri që rregullon në tërësi çështjet e organizimit dhe funksionimit të duhur</w:t>
          </w:r>
          <w:r w:rsidR="00E25145">
            <w:rPr>
              <w:rStyle w:val="Strong"/>
              <w:szCs w:val="24"/>
              <w:lang w:val="sq-AL"/>
            </w:rPr>
            <w:t xml:space="preserve"> të këtij shërbimi</w:t>
          </w:r>
          <w:r w:rsidR="00BB121C">
            <w:rPr>
              <w:rStyle w:val="Strong"/>
              <w:szCs w:val="24"/>
              <w:lang w:val="sq-AL"/>
            </w:rPr>
            <w:t xml:space="preserve">, duke i kushtuar rëndësinë e duhur legjislative sikurse është kryer edhe për shërbimin përmbarimor privat. </w:t>
          </w:r>
        </w:sdtContent>
      </w:sdt>
      <w:r w:rsidR="008D5EAF" w:rsidRPr="008D5EAF">
        <w:rPr>
          <w:szCs w:val="24"/>
          <w:lang w:bidi="en-US"/>
        </w:rPr>
        <w:t xml:space="preserve"> </w:t>
      </w:r>
    </w:p>
    <w:p w14:paraId="3B35E27A" w14:textId="1D3E2C0D"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6"/>
    </w:p>
    <w:sdt>
      <w:sdtPr>
        <w:id w:val="-1161541828"/>
        <w:lock w:val="contentLocked"/>
        <w:placeholder>
          <w:docPart w:val="DefaultPlaceholder_1081868574"/>
        </w:placeholder>
        <w15:color w:val="C0C0C0"/>
      </w:sdtPr>
      <w:sdtEndPr>
        <w:rPr>
          <w:sz w:val="24"/>
          <w:szCs w:val="24"/>
        </w:rPr>
      </w:sdtEndPr>
      <w:sdtContent>
        <w:p w14:paraId="34CBFEE4" w14:textId="073C260A"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10FE35C4"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036157E1"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796883EF" w14:textId="694F60A4"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bookmarkStart w:id="7" w:name="_Toc506919735"/>
    <w:p w14:paraId="264D3D2E" w14:textId="53056F24" w:rsidR="00AC29B4" w:rsidRPr="00AC29B4" w:rsidRDefault="00C278E6" w:rsidP="00A863FA">
      <w:pPr>
        <w:spacing w:before="240" w:line="276" w:lineRule="auto"/>
        <w:jc w:val="both"/>
        <w:rPr>
          <w:color w:val="808080" w:themeColor="background1" w:themeShade="80"/>
        </w:rPr>
      </w:pPr>
      <w:sdt>
        <w:sdtPr>
          <w:rPr>
            <w:rFonts w:eastAsiaTheme="majorEastAsia"/>
            <w:color w:val="808080" w:themeColor="background1" w:themeShade="80"/>
          </w:rPr>
          <w:id w:val="-1918160353"/>
          <w:placeholder>
            <w:docPart w:val="CACB70A1168B411595FAC6FC6BEBF98B"/>
          </w:placeholder>
        </w:sdtPr>
        <w:sdtEndPr/>
        <w:sdtContent>
          <w:r w:rsidR="008D5EAF" w:rsidRPr="00EE0CD0">
            <w:rPr>
              <w:b/>
              <w:color w:val="000000" w:themeColor="text1"/>
              <w:szCs w:val="24"/>
            </w:rPr>
            <w:t>Arsyet e ndërh</w:t>
          </w:r>
          <w:r w:rsidR="008D5EAF" w:rsidRPr="00032F0D">
            <w:rPr>
              <w:b/>
              <w:color w:val="000000" w:themeColor="text1"/>
              <w:szCs w:val="24"/>
              <w:lang w:val="sq-AL"/>
            </w:rPr>
            <w:t>yrjes së qeverisë dhe nevojshmëria</w:t>
          </w:r>
          <w:r w:rsidR="00032F0D" w:rsidRPr="00032F0D">
            <w:rPr>
              <w:b/>
              <w:color w:val="000000" w:themeColor="text1"/>
              <w:szCs w:val="24"/>
              <w:lang w:val="sq-AL"/>
            </w:rPr>
            <w:t xml:space="preserve">: </w:t>
          </w:r>
          <w:r w:rsidR="00032F0D" w:rsidRPr="00032F0D">
            <w:rPr>
              <w:color w:val="000000" w:themeColor="text1"/>
              <w:szCs w:val="24"/>
              <w:lang w:val="sq-AL"/>
            </w:rPr>
            <w:t xml:space="preserve">Sikurse </w:t>
          </w:r>
          <w:r w:rsidR="00C46E14">
            <w:rPr>
              <w:color w:val="000000" w:themeColor="text1"/>
              <w:szCs w:val="24"/>
              <w:lang w:val="sq-AL"/>
            </w:rPr>
            <w:t>është parashtruar edhe në seksionet e mësipërme të këtij Raporti, shërbimi përmbarimor gjyqësor shtetëror rregullohet nga një ligj i miratuar në vitin 2001 (ligji nr.</w:t>
          </w:r>
          <w:r w:rsidR="00C46E14" w:rsidRPr="00C46E14">
            <w:rPr>
              <w:szCs w:val="24"/>
              <w:lang w:val="sq-AL" w:eastAsia="sq-AL"/>
            </w:rPr>
            <w:t xml:space="preserve"> </w:t>
          </w:r>
          <w:r w:rsidR="00C46E14" w:rsidRPr="00C33E5A">
            <w:rPr>
              <w:szCs w:val="24"/>
              <w:lang w:val="sq-AL" w:eastAsia="sq-AL"/>
            </w:rPr>
            <w:t xml:space="preserve">8730/2001 i sipërcituar), </w:t>
          </w:r>
          <w:r w:rsidR="00C46E14">
            <w:rPr>
              <w:color w:val="000000" w:themeColor="text1"/>
              <w:szCs w:val="24"/>
              <w:lang w:val="sq-AL"/>
            </w:rPr>
            <w:t xml:space="preserve">i cili i është nënshtruar ndryshimeve ligjore vetëm një herë, përmes ligjit nr. </w:t>
          </w:r>
          <w:r w:rsidR="00D12A48">
            <w:rPr>
              <w:color w:val="000000" w:themeColor="text1"/>
              <w:szCs w:val="24"/>
              <w:lang w:val="sq-AL"/>
            </w:rPr>
            <w:t xml:space="preserve">108/2016, datë 27.10.2016, “Për disa shtesa dhe ndryshime në ligjin nr. 8730, datë 18.1.2001, “Për organizimin dhe funksionimin e shërbimit të përmbarimit gjyqësor””. </w:t>
          </w:r>
          <w:r w:rsidR="008D5EAF" w:rsidRPr="00032F0D">
            <w:rPr>
              <w:rFonts w:eastAsia="Calibri"/>
              <w:szCs w:val="24"/>
              <w:lang w:val="sq-AL"/>
            </w:rPr>
            <w:t xml:space="preserve">Propozimi i kësaj nisme vjen dhe si nevojë e </w:t>
          </w:r>
          <w:r w:rsidR="00A83556">
            <w:rPr>
              <w:rFonts w:eastAsia="Calibri"/>
              <w:szCs w:val="24"/>
              <w:lang w:val="sq-AL"/>
            </w:rPr>
            <w:t>përshtatjes së kërkesave të ushtrimit dhe organizimit të profesionit të shërbimit përmbarimor gjyqësor shtetëror me rrethanat aktuale ligjore, ekonomike, sociale dhe politike</w:t>
          </w:r>
          <w:r w:rsidR="009E11FC">
            <w:rPr>
              <w:rFonts w:eastAsia="Calibri"/>
              <w:szCs w:val="24"/>
              <w:lang w:val="sq-AL"/>
            </w:rPr>
            <w:t xml:space="preserve">, duke mbajtur </w:t>
          </w:r>
          <w:r w:rsidR="009E11FC">
            <w:rPr>
              <w:rFonts w:eastAsia="Calibri"/>
              <w:szCs w:val="24"/>
              <w:lang w:val="sq-AL"/>
            </w:rPr>
            <w:lastRenderedPageBreak/>
            <w:t>në konsideratë ndryshimet që janë kryer ndër vite në Kodin e Procedurës Civile</w:t>
          </w:r>
          <w:r w:rsidR="00E263E8">
            <w:rPr>
              <w:rFonts w:eastAsia="Calibri"/>
              <w:szCs w:val="24"/>
              <w:lang w:val="sq-AL"/>
            </w:rPr>
            <w:t xml:space="preserve"> lidhur me rregullat procedurale për ekzekutimin e titjve ekzekutivë, si dhe reformimit që i është kryer këtij shërbimi të ofruar nga përmbaruesit gjyqësorë privatë. </w:t>
          </w:r>
          <w:r w:rsidR="00346FE5">
            <w:rPr>
              <w:rFonts w:eastAsia="Calibri"/>
              <w:szCs w:val="24"/>
              <w:lang w:val="sq-AL"/>
            </w:rPr>
            <w:t>Pavarësisht natyrës së organizimit (</w:t>
          </w:r>
          <w:r w:rsidR="00346FE5" w:rsidRPr="00D24674">
            <w:rPr>
              <w:rFonts w:eastAsia="Calibri"/>
              <w:i/>
              <w:szCs w:val="24"/>
              <w:lang w:val="sq-AL"/>
            </w:rPr>
            <w:t>mbi baza shtetërore apo private</w:t>
          </w:r>
          <w:r w:rsidR="00346FE5">
            <w:rPr>
              <w:rFonts w:eastAsia="Calibri"/>
              <w:szCs w:val="24"/>
              <w:lang w:val="sq-AL"/>
            </w:rPr>
            <w:t>)</w:t>
          </w:r>
          <w:r w:rsidR="00432D12">
            <w:rPr>
              <w:rFonts w:eastAsia="Calibri"/>
              <w:szCs w:val="24"/>
              <w:lang w:val="sq-AL"/>
            </w:rPr>
            <w:t xml:space="preserve">, </w:t>
          </w:r>
          <w:r w:rsidR="00D24674">
            <w:rPr>
              <w:rFonts w:eastAsia="Calibri"/>
              <w:szCs w:val="24"/>
              <w:lang w:val="sq-AL"/>
            </w:rPr>
            <w:t>në thelb përmbaruesit gjyqësorë ushtrojnë të njëjtin funksion primar dhe u nënshtrohen të njëjtave rregullave për ushtrimin e detyrave të tyre (</w:t>
          </w:r>
          <w:r w:rsidR="00D24674" w:rsidRPr="00D24674">
            <w:rPr>
              <w:rFonts w:eastAsia="Calibri"/>
              <w:i/>
              <w:szCs w:val="24"/>
              <w:lang w:val="sq-AL"/>
            </w:rPr>
            <w:t>Kodit të Procedurës Civile, Kodit Civil, akteve të tjera</w:t>
          </w:r>
          <w:r w:rsidR="00D57144">
            <w:rPr>
              <w:rFonts w:eastAsia="Calibri"/>
              <w:i/>
              <w:szCs w:val="24"/>
              <w:lang w:val="sq-AL"/>
            </w:rPr>
            <w:t xml:space="preserve"> ligjore dhe nënligjore</w:t>
          </w:r>
          <w:r w:rsidR="00D24674" w:rsidRPr="00D24674">
            <w:rPr>
              <w:rFonts w:eastAsia="Calibri"/>
              <w:i/>
              <w:szCs w:val="24"/>
              <w:lang w:val="sq-AL"/>
            </w:rPr>
            <w:t xml:space="preserve"> për ekzekutimin e titujve ekzekutivë etj</w:t>
          </w:r>
          <w:r w:rsidR="00D24674">
            <w:rPr>
              <w:rFonts w:eastAsia="Calibri"/>
              <w:szCs w:val="24"/>
              <w:lang w:val="sq-AL"/>
            </w:rPr>
            <w:t xml:space="preserve">). </w:t>
          </w:r>
          <w:r w:rsidR="00346FE5">
            <w:rPr>
              <w:rFonts w:eastAsia="Calibri"/>
              <w:szCs w:val="24"/>
              <w:lang w:val="sq-AL"/>
            </w:rPr>
            <w:t xml:space="preserve"> </w:t>
          </w:r>
          <w:r w:rsidR="007910A3">
            <w:rPr>
              <w:rFonts w:eastAsia="Calibri"/>
              <w:szCs w:val="24"/>
              <w:lang w:val="sq-AL"/>
            </w:rPr>
            <w:t xml:space="preserve">Në këtë kuadër, është e domosdoshme hartimi i një kuadri ligjor të ri për përmbaruesit gjyqësorë shtetërorë, duke ndjekur linjën e ligjit të shërbimit përmbarimor </w:t>
          </w:r>
          <w:r w:rsidR="00432D12">
            <w:rPr>
              <w:rFonts w:eastAsia="Calibri"/>
              <w:szCs w:val="24"/>
              <w:lang w:val="sq-AL"/>
            </w:rPr>
            <w:t xml:space="preserve">gjyqësor </w:t>
          </w:r>
          <w:r w:rsidR="007910A3">
            <w:rPr>
              <w:rFonts w:eastAsia="Calibri"/>
              <w:szCs w:val="24"/>
              <w:lang w:val="sq-AL"/>
            </w:rPr>
            <w:t>privat, për aq sa korrespondon me organizimin e këtij shë</w:t>
          </w:r>
          <w:r w:rsidR="00D57144">
            <w:rPr>
              <w:rFonts w:eastAsia="Calibri"/>
              <w:szCs w:val="24"/>
              <w:lang w:val="sq-AL"/>
            </w:rPr>
            <w:t xml:space="preserve">rbimi, duke siguruar të gjitha të drejtat dhe garancitë e duhura ligjore për ofrimin e shërbimit publik të ekzekutimit të vendimeve gjyqësore në mënyrë cilësore dhe profesionale. </w:t>
          </w:r>
          <w:r w:rsidR="007910A3">
            <w:rPr>
              <w:rFonts w:eastAsia="Calibri"/>
              <w:szCs w:val="24"/>
              <w:lang w:val="sq-AL"/>
            </w:rPr>
            <w:t xml:space="preserve"> </w:t>
          </w:r>
          <w:r w:rsidR="00B00A9C">
            <w:rPr>
              <w:rFonts w:eastAsia="Calibri"/>
              <w:szCs w:val="24"/>
              <w:lang w:val="sq-AL"/>
            </w:rPr>
            <w:t xml:space="preserve">Ky kuadër ligjor i ri synon të krijojë </w:t>
          </w:r>
          <w:r w:rsidR="008D5EAF" w:rsidRPr="00032F0D">
            <w:rPr>
              <w:color w:val="000000" w:themeColor="text1"/>
              <w:szCs w:val="24"/>
              <w:lang w:val="sq-AL"/>
            </w:rPr>
            <w:t xml:space="preserve">kushtet dhe kriteret profesionale </w:t>
          </w:r>
          <w:r w:rsidR="00B00A9C">
            <w:rPr>
              <w:color w:val="000000" w:themeColor="text1"/>
              <w:szCs w:val="24"/>
              <w:lang w:val="sq-AL"/>
            </w:rPr>
            <w:t>për shtetasit që do të synojnë të jenë në rradhët e përmbaruesve gjyqësorë shtetërorë</w:t>
          </w:r>
          <w:r w:rsidR="008D5EAF" w:rsidRPr="00032F0D">
            <w:rPr>
              <w:color w:val="000000" w:themeColor="text1"/>
              <w:szCs w:val="24"/>
              <w:lang w:val="sq-AL"/>
            </w:rPr>
            <w:t xml:space="preserve">, </w:t>
          </w:r>
          <w:r w:rsidR="00B00A9C">
            <w:rPr>
              <w:color w:val="000000" w:themeColor="text1"/>
              <w:szCs w:val="24"/>
              <w:lang w:val="sq-AL"/>
            </w:rPr>
            <w:t xml:space="preserve">si dhe </w:t>
          </w:r>
          <w:r w:rsidR="008D5EAF" w:rsidRPr="00032F0D">
            <w:rPr>
              <w:color w:val="000000" w:themeColor="text1"/>
              <w:szCs w:val="24"/>
              <w:lang w:val="sq-AL"/>
            </w:rPr>
            <w:t>mekanizmat kontrollues me qëllim shmangien e ab</w:t>
          </w:r>
          <w:r w:rsidR="00B00A9C">
            <w:rPr>
              <w:color w:val="000000" w:themeColor="text1"/>
              <w:szCs w:val="24"/>
              <w:lang w:val="sq-AL"/>
            </w:rPr>
            <w:t xml:space="preserve">uzimeve dhe veprimeve joligjore përgjatë ushtrimit të veprimtarive përmbarimore. </w:t>
          </w:r>
          <w:r w:rsidR="008D5EAF" w:rsidRPr="00032F0D">
            <w:rPr>
              <w:color w:val="000000" w:themeColor="text1"/>
              <w:szCs w:val="24"/>
              <w:lang w:val="sq-AL"/>
            </w:rPr>
            <w:t xml:space="preserve"> Nëpërmjet kësaj ndërhyrje synohet të trajtohen problematikat </w:t>
          </w:r>
          <w:r w:rsidR="008D5EAF" w:rsidRPr="00032F0D">
            <w:rPr>
              <w:szCs w:val="24"/>
              <w:lang w:val="sq-AL"/>
            </w:rPr>
            <w:t xml:space="preserve">lidhur me kushtet </w:t>
          </w:r>
          <w:r w:rsidR="00B00A9C">
            <w:rPr>
              <w:szCs w:val="24"/>
              <w:lang w:val="sq-AL"/>
            </w:rPr>
            <w:t>që duhet të plotësojnë shtetasit për t’u pranuar në shërbimin përmbarimor gjyqësor shtetëror, për t’u emëruar përfundimisht</w:t>
          </w:r>
          <w:r w:rsidR="008D5EAF" w:rsidRPr="00032F0D">
            <w:rPr>
              <w:szCs w:val="24"/>
              <w:lang w:val="sq-AL"/>
            </w:rPr>
            <w:t xml:space="preserve"> </w:t>
          </w:r>
          <w:r w:rsidR="002C2BD6">
            <w:rPr>
              <w:szCs w:val="24"/>
              <w:lang w:val="sq-AL"/>
            </w:rPr>
            <w:t xml:space="preserve">në detyrë nga ministri përgjegjës, </w:t>
          </w:r>
          <w:r w:rsidR="008D5EAF" w:rsidRPr="00032F0D">
            <w:rPr>
              <w:rFonts w:eastAsia="Calibri"/>
              <w:szCs w:val="24"/>
              <w:lang w:val="sq-AL"/>
            </w:rPr>
            <w:t xml:space="preserve">të drejtat, detyrimet, masat disiplinore, rregullat e caktimit të </w:t>
          </w:r>
          <w:r w:rsidR="002C2BD6">
            <w:rPr>
              <w:rFonts w:eastAsia="Calibri"/>
              <w:szCs w:val="24"/>
              <w:lang w:val="sq-AL"/>
            </w:rPr>
            <w:t xml:space="preserve">tarifave, si dhe marrëdhëniet </w:t>
          </w:r>
          <w:r w:rsidR="008D5EAF" w:rsidRPr="00032F0D">
            <w:rPr>
              <w:rFonts w:eastAsia="Calibri"/>
              <w:szCs w:val="24"/>
              <w:lang w:val="sq-AL"/>
            </w:rPr>
            <w:t xml:space="preserve">me të tretët. </w:t>
          </w:r>
          <w:r w:rsidR="00442B33">
            <w:rPr>
              <w:rFonts w:eastAsia="Calibri"/>
              <w:szCs w:val="24"/>
              <w:lang w:val="sq-AL"/>
            </w:rPr>
            <w:t xml:space="preserve">Kjo ndërhyrje është thelbësore nisur edhe nga interesi publik që paraqet veprimtaria përmbarimore pasi lidhet ngushtësisht me të drejtat e qytetarëve, të cilat janë fituar përmes një kalvari procesesh gjyqësore, ekzekutimi i të cilave paraqitet jetësor për mirëqenien e tyre fizike, sociale, ekonomike. </w:t>
          </w:r>
          <w:r w:rsidR="008D5EAF" w:rsidRPr="00032F0D">
            <w:rPr>
              <w:b/>
              <w:color w:val="000000" w:themeColor="text1"/>
              <w:szCs w:val="24"/>
              <w:lang w:val="sq-AL"/>
            </w:rPr>
            <w:t>Shkalla e ndërhyrjes së qeverisë:</w:t>
          </w:r>
          <w:r w:rsidR="00C35EA1">
            <w:rPr>
              <w:b/>
              <w:color w:val="000000" w:themeColor="text1"/>
              <w:szCs w:val="24"/>
              <w:lang w:val="sq-AL"/>
            </w:rPr>
            <w:t xml:space="preserve"> </w:t>
          </w:r>
          <w:r w:rsidR="008D5EAF" w:rsidRPr="00032F0D">
            <w:rPr>
              <w:color w:val="000000" w:themeColor="text1"/>
              <w:szCs w:val="24"/>
              <w:lang w:val="sq-AL"/>
            </w:rPr>
            <w:t>Për zgjidhjen efektive dhe adresimin e problematikave</w:t>
          </w:r>
          <w:r w:rsidR="00C35EA1">
            <w:rPr>
              <w:color w:val="000000" w:themeColor="text1"/>
              <w:szCs w:val="24"/>
              <w:lang w:val="sq-AL"/>
            </w:rPr>
            <w:t xml:space="preserve"> të evidentuara gjerësisht më sipër</w:t>
          </w:r>
          <w:r w:rsidR="008D5EAF" w:rsidRPr="00032F0D">
            <w:rPr>
              <w:color w:val="000000" w:themeColor="text1"/>
              <w:szCs w:val="24"/>
              <w:lang w:val="sq-AL"/>
            </w:rPr>
            <w:t>, si dhe pë</w:t>
          </w:r>
          <w:r w:rsidR="00C35EA1">
            <w:rPr>
              <w:color w:val="000000" w:themeColor="text1"/>
              <w:szCs w:val="24"/>
              <w:lang w:val="sq-AL"/>
            </w:rPr>
            <w:t xml:space="preserve">rmbushjen reale të objektivave, </w:t>
          </w:r>
          <w:r w:rsidR="008D5EAF" w:rsidRPr="00032F0D">
            <w:rPr>
              <w:color w:val="000000" w:themeColor="text1"/>
              <w:szCs w:val="24"/>
              <w:lang w:val="sq-AL"/>
            </w:rPr>
            <w:t>shfaqet e nevojshme hartimi i nj</w:t>
          </w:r>
          <w:r w:rsidR="00C35EA1">
            <w:rPr>
              <w:color w:val="000000" w:themeColor="text1"/>
              <w:szCs w:val="24"/>
              <w:lang w:val="sq-AL"/>
            </w:rPr>
            <w:t>ë projektligji të ri</w:t>
          </w:r>
          <w:r w:rsidR="008D5EAF" w:rsidRPr="00032F0D">
            <w:rPr>
              <w:color w:val="000000" w:themeColor="text1"/>
              <w:szCs w:val="24"/>
              <w:lang w:val="sq-AL"/>
            </w:rPr>
            <w:t xml:space="preserve"> </w:t>
          </w:r>
          <w:r w:rsidR="00C35EA1">
            <w:rPr>
              <w:color w:val="000000" w:themeColor="text1"/>
              <w:szCs w:val="24"/>
              <w:lang w:val="sq-AL"/>
            </w:rPr>
            <w:t>për organizimin dhe funksionimin e shërbimit përmbarimor gjyqë</w:t>
          </w:r>
          <w:r w:rsidR="009B2212">
            <w:rPr>
              <w:color w:val="000000" w:themeColor="text1"/>
              <w:szCs w:val="24"/>
              <w:lang w:val="sq-AL"/>
            </w:rPr>
            <w:t xml:space="preserve">sor </w:t>
          </w:r>
          <w:r w:rsidR="00C35EA1">
            <w:rPr>
              <w:color w:val="000000" w:themeColor="text1"/>
              <w:szCs w:val="24"/>
              <w:lang w:val="sq-AL"/>
            </w:rPr>
            <w:t xml:space="preserve">shtetëror. </w:t>
          </w:r>
          <w:r w:rsidR="008D5EAF" w:rsidRPr="00032F0D">
            <w:rPr>
              <w:b/>
              <w:color w:val="000000" w:themeColor="text1"/>
              <w:szCs w:val="24"/>
              <w:lang w:val="sq-AL"/>
            </w:rPr>
            <w:t>Objektivat e nivelit të lartë të qeverisë që</w:t>
          </w:r>
          <w:r w:rsidR="00432D12">
            <w:rPr>
              <w:b/>
              <w:color w:val="000000" w:themeColor="text1"/>
              <w:szCs w:val="24"/>
              <w:lang w:val="sq-AL"/>
            </w:rPr>
            <w:t xml:space="preserve"> mbështeten nga kjo ndërhyrje: </w:t>
          </w:r>
          <w:r w:rsidR="008D5EAF" w:rsidRPr="00032F0D">
            <w:rPr>
              <w:color w:val="000000" w:themeColor="text1"/>
              <w:szCs w:val="24"/>
              <w:lang w:val="sq-AL"/>
            </w:rPr>
            <w:t xml:space="preserve">Hartimi i këtij projektligji do të jetë në kuadër të </w:t>
          </w:r>
          <w:r w:rsidR="009B2212">
            <w:rPr>
              <w:color w:val="000000" w:themeColor="text1"/>
              <w:szCs w:val="24"/>
              <w:lang w:val="sq-AL"/>
            </w:rPr>
            <w:t>fokusimit të vazhdueshëm të qeverisë shqiptare për përmbushjen e objektivit që lidhet me zbatimin e Reformës në Drejtësi në drejtim të përmirësimit të shërbimeve dhe funksioneve me natyrë publike, si dhe reformimit institucional të subjekteve që ofrojnë këtë shërbim (</w:t>
          </w:r>
          <w:r w:rsidR="009B2212" w:rsidRPr="009B2212">
            <w:rPr>
              <w:i/>
              <w:color w:val="000000" w:themeColor="text1"/>
              <w:szCs w:val="24"/>
              <w:lang w:val="sq-AL"/>
            </w:rPr>
            <w:t>shih programin qeverisës 2017-2021 dhe 2021-2025</w:t>
          </w:r>
          <w:r w:rsidR="009B2212">
            <w:rPr>
              <w:color w:val="000000" w:themeColor="text1"/>
              <w:szCs w:val="24"/>
              <w:lang w:val="sq-AL"/>
            </w:rPr>
            <w:t>)</w:t>
          </w:r>
          <w:r w:rsidR="0091193E">
            <w:rPr>
              <w:color w:val="000000" w:themeColor="text1"/>
              <w:szCs w:val="24"/>
              <w:lang w:val="sq-AL"/>
            </w:rPr>
            <w:t xml:space="preserve">. </w:t>
          </w:r>
          <w:r w:rsidR="008D5EAF" w:rsidRPr="00032F0D">
            <w:rPr>
              <w:b/>
              <w:color w:val="000000" w:themeColor="text1"/>
              <w:szCs w:val="24"/>
              <w:lang w:val="sq-AL"/>
            </w:rPr>
            <w:t>Punët ekzistuese që janë realizuar:</w:t>
          </w:r>
          <w:r w:rsidR="002D68F9">
            <w:rPr>
              <w:b/>
              <w:color w:val="000000" w:themeColor="text1"/>
              <w:szCs w:val="24"/>
              <w:lang w:val="sq-AL"/>
            </w:rPr>
            <w:t xml:space="preserve"> </w:t>
          </w:r>
          <w:r w:rsidR="008D5EAF" w:rsidRPr="00032F0D">
            <w:rPr>
              <w:szCs w:val="24"/>
              <w:lang w:val="sq-AL"/>
            </w:rPr>
            <w:t>Siç është parashtruar më sipër, kjo ndërhyrje e qeverisë vjen në</w:t>
          </w:r>
          <w:r w:rsidR="002D68F9">
            <w:rPr>
              <w:szCs w:val="24"/>
              <w:lang w:val="sq-AL"/>
            </w:rPr>
            <w:t xml:space="preserve"> linjë të drejtë me shtyllat e fokusimit të qeverisë shqiptare gjatë këtij mandati qeverisës (2021-2025), ku njëra prej tyre lidhet me </w:t>
          </w:r>
          <w:r w:rsidR="00C837D3">
            <w:rPr>
              <w:szCs w:val="24"/>
              <w:lang w:val="sq-AL"/>
            </w:rPr>
            <w:t>forcimin e shtetit të</w:t>
          </w:r>
          <w:r w:rsidR="002D68F9">
            <w:rPr>
              <w:szCs w:val="24"/>
              <w:lang w:val="sq-AL"/>
            </w:rPr>
            <w:t xml:space="preserve"> së drejtës dhe vazhdimin e betejës </w:t>
          </w:r>
          <w:r w:rsidR="00F854E2">
            <w:rPr>
              <w:szCs w:val="24"/>
              <w:lang w:val="sq-AL"/>
            </w:rPr>
            <w:t xml:space="preserve">për implementimin e Reformës në Drejtësi. Po kështu, </w:t>
          </w:r>
          <w:r w:rsidR="00C837D3">
            <w:rPr>
              <w:szCs w:val="24"/>
              <w:lang w:val="sq-AL"/>
            </w:rPr>
            <w:t xml:space="preserve">projektligji </w:t>
          </w:r>
          <w:r w:rsidR="008D5EAF" w:rsidRPr="00032F0D">
            <w:rPr>
              <w:szCs w:val="24"/>
              <w:lang w:val="sq-AL"/>
            </w:rPr>
            <w:t>g</w:t>
          </w:r>
          <w:r w:rsidR="00F854E2">
            <w:rPr>
              <w:szCs w:val="24"/>
              <w:lang w:val="sq-AL"/>
            </w:rPr>
            <w:t xml:space="preserve">jendet </w:t>
          </w:r>
          <w:r w:rsidR="008D5EAF" w:rsidRPr="00032F0D">
            <w:rPr>
              <w:szCs w:val="24"/>
              <w:lang w:val="sq-AL"/>
            </w:rPr>
            <w:t>i parashikuar në programin analitik të projektakteve të planifikuara për Minist</w:t>
          </w:r>
          <w:r w:rsidR="00F854E2">
            <w:rPr>
              <w:szCs w:val="24"/>
              <w:lang w:val="sq-AL"/>
            </w:rPr>
            <w:t>rinë e Drejtësisë për vitin 2022</w:t>
          </w:r>
          <w:r w:rsidR="008D5EAF" w:rsidRPr="00032F0D">
            <w:rPr>
              <w:szCs w:val="24"/>
              <w:lang w:val="sq-AL"/>
            </w:rPr>
            <w:t xml:space="preserve">, miratuar me </w:t>
          </w:r>
          <w:r w:rsidR="008D5EAF" w:rsidRPr="00032F0D">
            <w:rPr>
              <w:color w:val="000000"/>
              <w:szCs w:val="24"/>
              <w:lang w:val="sq-AL"/>
            </w:rPr>
            <w:t xml:space="preserve">miratuar </w:t>
          </w:r>
          <w:r w:rsidR="00F854E2" w:rsidRPr="00A763D5">
            <w:rPr>
              <w:szCs w:val="28"/>
              <w:lang w:val="sq-AL" w:eastAsia="sq-AL"/>
            </w:rPr>
            <w:t xml:space="preserve">me vendimin nr. 850, datë 29.12.2021, të Këshillit të Ministrave, </w:t>
          </w:r>
          <w:r w:rsidR="008D5EAF" w:rsidRPr="00032F0D">
            <w:rPr>
              <w:szCs w:val="24"/>
              <w:lang w:val="sq-AL"/>
            </w:rPr>
            <w:t xml:space="preserve">“Për miratimin e programit të përgjithshëm analitik të projektakteve, që do të paraqiten për shqyrtim në Këshillin e Ministrave gjatë vitit </w:t>
          </w:r>
          <w:r w:rsidR="00F854E2">
            <w:rPr>
              <w:szCs w:val="24"/>
              <w:lang w:val="sq-AL"/>
            </w:rPr>
            <w:t>2022</w:t>
          </w:r>
          <w:r w:rsidR="008D5EAF" w:rsidRPr="00032F0D">
            <w:rPr>
              <w:szCs w:val="24"/>
              <w:lang w:val="sq-AL"/>
            </w:rPr>
            <w:t>”</w:t>
          </w:r>
          <w:r w:rsidR="00351676">
            <w:rPr>
              <w:szCs w:val="24"/>
              <w:lang w:val="sq-AL"/>
            </w:rPr>
            <w:t xml:space="preserve">. </w:t>
          </w:r>
          <w:r w:rsidR="008D5EAF" w:rsidRPr="00032F0D">
            <w:rPr>
              <w:szCs w:val="24"/>
              <w:lang w:val="sq-AL"/>
            </w:rPr>
            <w:t>Vetë proce</w:t>
          </w:r>
          <w:r w:rsidR="001C1F39">
            <w:rPr>
              <w:szCs w:val="24"/>
              <w:lang w:val="sq-AL"/>
            </w:rPr>
            <w:t xml:space="preserve">si i hartimit të projektligjit ka marrë një kohë të gjatë studimi dhe vlerësimi të alternativave të ndryshme të rregullimit të çështjeve të caktuara që lidhen me organizimin dhe funksionimin e Shërbimit Përmbarimor Gjyqësor Shtetëror, nëpërmjet bashkëpunimit efektiv </w:t>
          </w:r>
          <w:r w:rsidR="00351676">
            <w:rPr>
              <w:szCs w:val="24"/>
              <w:lang w:val="sq-AL"/>
            </w:rPr>
            <w:t xml:space="preserve">dhe të vazhdueshëm </w:t>
          </w:r>
          <w:r w:rsidR="001C1F39">
            <w:rPr>
              <w:szCs w:val="24"/>
              <w:lang w:val="sq-AL"/>
            </w:rPr>
            <w:t xml:space="preserve">të strukturës juridike në Ministrinë e Drejtësisë me Drejtorinë e Përgjithshme </w:t>
          </w:r>
          <w:r w:rsidR="00351676">
            <w:rPr>
              <w:szCs w:val="24"/>
              <w:lang w:val="sq-AL"/>
            </w:rPr>
            <w:t>të Përmbarimit</w:t>
          </w:r>
          <w:r w:rsidR="008D5EAF" w:rsidRPr="00032F0D">
            <w:rPr>
              <w:szCs w:val="24"/>
              <w:lang w:val="sq-AL"/>
            </w:rPr>
            <w:t xml:space="preserve">. </w:t>
          </w:r>
          <w:r w:rsidR="00351676" w:rsidRPr="00351676">
            <w:rPr>
              <w:szCs w:val="24"/>
              <w:lang w:val="sq-AL"/>
            </w:rPr>
            <w:t xml:space="preserve">Në mbështetje të nenit 24, të ligjit nr. 9000, datë 30.1.2003, “Për organizimin dhe funksionimin e Këshillit të Ministrave”, </w:t>
          </w:r>
          <w:r w:rsidR="00351676">
            <w:rPr>
              <w:szCs w:val="24"/>
              <w:lang w:val="sq-AL"/>
            </w:rPr>
            <w:t xml:space="preserve">dhe </w:t>
          </w:r>
          <w:r w:rsidR="00351676" w:rsidRPr="00351676">
            <w:rPr>
              <w:szCs w:val="24"/>
              <w:lang w:val="sq-AL"/>
            </w:rPr>
            <w:t>të Kreut IV, të Rregullores së Këshillit të Ministrave, miratuar me vendimin nr. 584, datë 28.8.2003, të Këshillit të Ministrave, të ndryshuar,</w:t>
          </w:r>
          <w:r w:rsidR="00351676">
            <w:rPr>
              <w:szCs w:val="24"/>
              <w:lang w:val="sq-AL"/>
            </w:rPr>
            <w:t xml:space="preserve"> Ministria e Drejtësisë sapo ka nisur procesin e konsultimit me institucion</w:t>
          </w:r>
          <w:r w:rsidR="00C837D3">
            <w:rPr>
              <w:szCs w:val="24"/>
              <w:lang w:val="sq-AL"/>
            </w:rPr>
            <w:t>et e interesuara, respektivisht me Ministrinë e Brendshme, Ministrinë e Financave dhe Ekonomisë, Departamentin e Administratës Publike, si dhe me Këshillin e Lartë Gjyqësor.</w:t>
          </w:r>
          <w:r w:rsidR="00351676">
            <w:rPr>
              <w:szCs w:val="24"/>
              <w:lang w:val="sq-AL"/>
            </w:rPr>
            <w:t xml:space="preserve"> </w:t>
          </w:r>
          <w:r w:rsidR="0036228F">
            <w:rPr>
              <w:szCs w:val="24"/>
              <w:lang w:val="sq-AL"/>
            </w:rPr>
            <w:t>Në zbatim të ligjit nr.146/2014,</w:t>
          </w:r>
          <w:r w:rsidR="008D5EAF" w:rsidRPr="00032F0D">
            <w:rPr>
              <w:szCs w:val="24"/>
              <w:lang w:val="sq-AL"/>
            </w:rPr>
            <w:t xml:space="preserve"> “Për Njoftimin dhe Konsultimin Publik”, Ministria e Drejtësisë </w:t>
          </w:r>
          <w:r w:rsidR="0036228F">
            <w:rPr>
              <w:szCs w:val="24"/>
              <w:lang w:val="sq-AL"/>
            </w:rPr>
            <w:t xml:space="preserve">do të publikojë </w:t>
          </w:r>
          <w:r w:rsidR="008D5EAF" w:rsidRPr="00032F0D">
            <w:rPr>
              <w:szCs w:val="24"/>
              <w:lang w:val="sq-AL"/>
            </w:rPr>
            <w:t>në portalin e Regjistrit Elektronik për Njofti</w:t>
          </w:r>
          <w:r w:rsidR="0036228F">
            <w:rPr>
              <w:szCs w:val="24"/>
              <w:lang w:val="sq-AL"/>
            </w:rPr>
            <w:t xml:space="preserve">met dhe Konsultimet Publike </w:t>
          </w:r>
          <w:r w:rsidR="008D5EAF" w:rsidRPr="00032F0D">
            <w:rPr>
              <w:szCs w:val="24"/>
              <w:lang w:val="sq-AL"/>
            </w:rPr>
            <w:t>draftin e projektligjit respektiv</w:t>
          </w:r>
          <w:r w:rsidR="0036228F">
            <w:rPr>
              <w:szCs w:val="24"/>
              <w:lang w:val="sq-AL"/>
            </w:rPr>
            <w:t xml:space="preserve"> shoqëruar me dokumentet përkatëse. </w:t>
          </w:r>
        </w:sdtContent>
      </w:sdt>
      <w:r w:rsidR="00AC29B4" w:rsidRPr="00AC29B4">
        <w:t xml:space="preserve"> </w:t>
      </w:r>
    </w:p>
    <w:p w14:paraId="6B360632" w14:textId="7C30DDBB"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7"/>
    </w:p>
    <w:sdt>
      <w:sdtPr>
        <w:rPr>
          <w:rFonts w:ascii="Times New Roman" w:hAnsi="Times New Roman"/>
          <w:sz w:val="24"/>
          <w:szCs w:val="24"/>
          <w:lang w:val="sq-AL"/>
        </w:rPr>
        <w:id w:val="-531503755"/>
        <w:lock w:val="contentLocked"/>
        <w:placeholder>
          <w:docPart w:val="DefaultPlaceholder_1081868574"/>
        </w:placeholder>
      </w:sdtPr>
      <w:sdtEndPr/>
      <w:sdtContent>
        <w:p w14:paraId="741CBAEE"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0D3C43DC"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lastRenderedPageBreak/>
            <w:t xml:space="preserve">Sigurohuni që objektivat e vendosur të korrespondojnë me ato të dhëna në përmbledhjen ekzekutive, por më të detajuara. </w:t>
          </w:r>
        </w:p>
        <w:p w14:paraId="7A8705C6" w14:textId="3E5C82C2" w:rsidR="009E64A4" w:rsidRPr="00325A1F" w:rsidRDefault="009E64A4" w:rsidP="009D13F4">
          <w:pPr>
            <w:pStyle w:val="ListParagraph"/>
            <w:numPr>
              <w:ilvl w:val="0"/>
              <w:numId w:val="30"/>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221DFEA1" w14:textId="7FB2C3B4" w:rsidR="00563378" w:rsidRPr="00563378" w:rsidRDefault="00C278E6" w:rsidP="00B37CF6">
      <w:pPr>
        <w:spacing w:before="240" w:line="276" w:lineRule="auto"/>
        <w:jc w:val="both"/>
        <w:rPr>
          <w:color w:val="808080" w:themeColor="background1" w:themeShade="80"/>
          <w:lang w:val="sq-AL"/>
        </w:rPr>
      </w:pPr>
      <w:sdt>
        <w:sdtPr>
          <w:rPr>
            <w:rFonts w:eastAsiaTheme="majorEastAsia"/>
            <w:color w:val="808080" w:themeColor="background1" w:themeShade="80"/>
            <w:szCs w:val="24"/>
          </w:rPr>
          <w:id w:val="-411319569"/>
          <w:placeholder>
            <w:docPart w:val="1B5742A7A4F94DA1B86FBACFB3D31E60"/>
          </w:placeholder>
        </w:sdtPr>
        <w:sdtEndPr/>
        <w:sdtContent>
          <w:r w:rsidR="008D5EAF" w:rsidRPr="00A61E4F">
            <w:rPr>
              <w:rFonts w:eastAsia="Calibri"/>
              <w:b/>
              <w:color w:val="000000" w:themeColor="text1"/>
              <w:szCs w:val="24"/>
            </w:rPr>
            <w:t>Objektivat</w:t>
          </w:r>
          <w:r w:rsidR="008D5EAF" w:rsidRPr="00A61E4F">
            <w:rPr>
              <w:b/>
              <w:color w:val="000000" w:themeColor="text1"/>
              <w:szCs w:val="24"/>
            </w:rPr>
            <w:t xml:space="preserve"> kryesorë që synohen të arrihen janë:</w:t>
          </w:r>
          <w:r w:rsidR="00A61E4F" w:rsidRPr="00A61E4F">
            <w:rPr>
              <w:b/>
              <w:color w:val="000000" w:themeColor="text1"/>
              <w:szCs w:val="24"/>
            </w:rPr>
            <w:t xml:space="preserve"> </w:t>
          </w:r>
          <w:r w:rsidR="00A61E4F" w:rsidRPr="00A61E4F">
            <w:rPr>
              <w:szCs w:val="24"/>
              <w:lang w:val="sq-AL" w:eastAsia="sq-AL"/>
            </w:rPr>
            <w:t xml:space="preserve">Bazuar në problematikat e evidentuara më sipër nga zbatimi i ligjit nr. 8730, datë 18.1.2001, “Për organizimin dhe funksionimin e shërbimit të përmbarimit gjyqësor”, i ndryshuar, nisma e re ligjore që synohet të ndërmerret ka si </w:t>
          </w:r>
          <w:r w:rsidR="00A61E4F" w:rsidRPr="00B37CF6">
            <w:rPr>
              <w:b/>
              <w:szCs w:val="24"/>
              <w:lang w:val="sq-AL" w:eastAsia="sq-AL"/>
            </w:rPr>
            <w:t>objektiva kryesorë</w:t>
          </w:r>
          <w:r w:rsidR="00A61E4F" w:rsidRPr="00A61E4F">
            <w:rPr>
              <w:szCs w:val="24"/>
              <w:lang w:val="sq-AL" w:eastAsia="sq-AL"/>
            </w:rPr>
            <w:t>:</w:t>
          </w:r>
          <w:r w:rsidR="00B37CF6">
            <w:rPr>
              <w:szCs w:val="24"/>
              <w:lang w:val="sq-AL" w:eastAsia="sq-AL"/>
            </w:rPr>
            <w:t xml:space="preserve"> </w:t>
          </w:r>
          <w:r w:rsidR="00B37CF6" w:rsidRPr="00B37CF6">
            <w:rPr>
              <w:b/>
              <w:i/>
              <w:szCs w:val="24"/>
              <w:lang w:val="sq-AL" w:eastAsia="sq-AL"/>
            </w:rPr>
            <w:t>(i)</w:t>
          </w:r>
          <w:r w:rsidR="00282D56" w:rsidRPr="00B37CF6">
            <w:rPr>
              <w:b/>
              <w:i/>
              <w:szCs w:val="24"/>
              <w:lang w:val="sq-AL" w:eastAsia="sq-AL"/>
            </w:rPr>
            <w:t xml:space="preserve"> </w:t>
          </w:r>
          <w:r w:rsidR="00A61E4F" w:rsidRPr="00A61E4F">
            <w:rPr>
              <w:szCs w:val="24"/>
              <w:lang w:val="sq-AL" w:eastAsia="sq-AL"/>
            </w:rPr>
            <w:t>të forcojë kriteret dhe kushtet që duhet të plotësojnë shtetasit për të qenë pjesë e shërbimit përmbarimor gjyqësor shtetëror;</w:t>
          </w:r>
          <w:r w:rsidR="00981D8F">
            <w:rPr>
              <w:szCs w:val="24"/>
              <w:lang w:val="sq-AL" w:eastAsia="sq-AL"/>
            </w:rPr>
            <w:t xml:space="preserve"> </w:t>
          </w:r>
          <w:r w:rsidR="00B37CF6" w:rsidRPr="00B37CF6">
            <w:rPr>
              <w:b/>
              <w:i/>
              <w:szCs w:val="24"/>
              <w:lang w:val="sq-AL" w:eastAsia="sq-AL"/>
            </w:rPr>
            <w:t>(ii)</w:t>
          </w:r>
          <w:r w:rsidR="00B37CF6">
            <w:rPr>
              <w:szCs w:val="24"/>
              <w:lang w:val="sq-AL" w:eastAsia="sq-AL"/>
            </w:rPr>
            <w:t xml:space="preserve"> </w:t>
          </w:r>
          <w:r w:rsidR="00981D8F">
            <w:rPr>
              <w:szCs w:val="24"/>
              <w:lang w:val="sq-AL" w:eastAsia="sq-AL"/>
            </w:rPr>
            <w:t xml:space="preserve">rregullat mbi statusin e tyre; </w:t>
          </w:r>
          <w:r w:rsidR="00B37CF6" w:rsidRPr="00B37CF6">
            <w:rPr>
              <w:b/>
              <w:i/>
              <w:szCs w:val="24"/>
              <w:lang w:val="sq-AL" w:eastAsia="sq-AL"/>
            </w:rPr>
            <w:t>(iii)</w:t>
          </w:r>
          <w:r w:rsidR="00B37CF6">
            <w:rPr>
              <w:szCs w:val="24"/>
              <w:lang w:val="sq-AL" w:eastAsia="sq-AL"/>
            </w:rPr>
            <w:t xml:space="preserve"> </w:t>
          </w:r>
          <w:r w:rsidR="00A61E4F" w:rsidRPr="00A61E4F">
            <w:rPr>
              <w:szCs w:val="24"/>
              <w:lang w:val="sq-AL" w:eastAsia="sq-AL"/>
            </w:rPr>
            <w:t>të drejtat dhe detyrimet që kanë, duke ofruar të gjithë garancitë dhe motivimin e duhur për ushtrimin e detyrave në mënyrë sa më profesionale;</w:t>
          </w:r>
          <w:r w:rsidR="00A61E4F" w:rsidRPr="00B37CF6">
            <w:rPr>
              <w:b/>
              <w:i/>
              <w:szCs w:val="24"/>
              <w:lang w:val="sq-AL" w:eastAsia="sq-AL"/>
            </w:rPr>
            <w:t xml:space="preserve"> </w:t>
          </w:r>
          <w:r w:rsidR="00B37CF6" w:rsidRPr="00B37CF6">
            <w:rPr>
              <w:b/>
              <w:i/>
              <w:szCs w:val="24"/>
              <w:lang w:val="sq-AL" w:eastAsia="sq-AL"/>
            </w:rPr>
            <w:t xml:space="preserve">(iv) </w:t>
          </w:r>
          <w:r w:rsidR="00A61E4F" w:rsidRPr="00A61E4F">
            <w:rPr>
              <w:szCs w:val="24"/>
              <w:lang w:val="sq-AL" w:eastAsia="sq-AL"/>
            </w:rPr>
            <w:t>të vendosë rregulla për vlerësimin etik dhe profesional të përmbaruesve sipas një programi planifikimi të</w:t>
          </w:r>
          <w:r w:rsidR="00981D8F">
            <w:rPr>
              <w:szCs w:val="24"/>
              <w:lang w:val="sq-AL" w:eastAsia="sq-AL"/>
            </w:rPr>
            <w:t xml:space="preserve"> miratuar paraprakisht; </w:t>
          </w:r>
          <w:r w:rsidR="00B37CF6" w:rsidRPr="00B37CF6">
            <w:rPr>
              <w:b/>
              <w:i/>
              <w:szCs w:val="24"/>
              <w:lang w:val="sq-AL" w:eastAsia="sq-AL"/>
            </w:rPr>
            <w:t>(v)</w:t>
          </w:r>
          <w:r w:rsidR="00B37CF6">
            <w:rPr>
              <w:szCs w:val="24"/>
              <w:lang w:val="sq-AL" w:eastAsia="sq-AL"/>
            </w:rPr>
            <w:t xml:space="preserve"> </w:t>
          </w:r>
          <w:r w:rsidR="00A61E4F" w:rsidRPr="00A61E4F">
            <w:rPr>
              <w:szCs w:val="24"/>
              <w:lang w:val="sq-AL" w:eastAsia="sq-AL"/>
            </w:rPr>
            <w:t>të vendosë rregulla të qarta për institutet e komandimit dhe transferimit të përmbaruesve gjyqësorë shtetërorë, duke sanksionuar në mënyrë të qartë dhe shteruese rastet e aplikimit të tyre, procedurat përkatëse dhe organet përgjegjë</w:t>
          </w:r>
          <w:r w:rsidR="00981D8F">
            <w:rPr>
              <w:szCs w:val="24"/>
              <w:lang w:val="sq-AL" w:eastAsia="sq-AL"/>
            </w:rPr>
            <w:t xml:space="preserve">se; </w:t>
          </w:r>
          <w:r w:rsidR="00B37CF6" w:rsidRPr="00B37CF6">
            <w:rPr>
              <w:b/>
              <w:i/>
              <w:szCs w:val="24"/>
              <w:lang w:val="sq-AL" w:eastAsia="sq-AL"/>
            </w:rPr>
            <w:t>(vi)</w:t>
          </w:r>
          <w:r w:rsidR="00B37CF6">
            <w:rPr>
              <w:szCs w:val="24"/>
              <w:lang w:val="sq-AL" w:eastAsia="sq-AL"/>
            </w:rPr>
            <w:t xml:space="preserve"> </w:t>
          </w:r>
          <w:r w:rsidR="00A61E4F" w:rsidRPr="00A61E4F">
            <w:rPr>
              <w:szCs w:val="24"/>
              <w:lang w:val="sq-AL" w:eastAsia="sq-AL"/>
            </w:rPr>
            <w:t>të forcojë procedurat dhe masat disiplinore duke garantuar jo vetëm rritjen e përgjegjshmërisë së përmbaruesve gjyqësorë shtetërorë që ushtrojnë detyrat, por edhe zhvillimin e një procesi të rregullt ligjor me natyrë administrative në kuptim të nenit 42 të Kushtetutës dhe nenit 6 të Konventës Europiane për të  Drejtat e Njeriut</w:t>
          </w:r>
        </w:sdtContent>
      </w:sdt>
      <w:r w:rsidR="00563378" w:rsidRPr="00563378">
        <w:rPr>
          <w:rFonts w:eastAsiaTheme="majorEastAsia"/>
          <w:color w:val="808080" w:themeColor="background1" w:themeShade="80"/>
        </w:rPr>
        <w:t>.</w:t>
      </w:r>
    </w:p>
    <w:p w14:paraId="7B42B565"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023513BA"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49427CE5"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5A3EFFB" w14:textId="7716EBDA"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2892DCDD" w14:textId="36B8CB4A" w:rsidR="00563378" w:rsidRPr="00563378" w:rsidRDefault="00C278E6" w:rsidP="00B37CF6">
      <w:pPr>
        <w:spacing w:before="240" w:line="276" w:lineRule="auto"/>
        <w:jc w:val="both"/>
        <w:rPr>
          <w:color w:val="808080" w:themeColor="background1" w:themeShade="80"/>
          <w:szCs w:val="24"/>
          <w:lang w:val="sq-AL"/>
        </w:rPr>
      </w:pPr>
      <w:sdt>
        <w:sdtPr>
          <w:rPr>
            <w:rFonts w:eastAsiaTheme="majorEastAsia"/>
            <w:color w:val="808080" w:themeColor="background1" w:themeShade="80"/>
          </w:rPr>
          <w:id w:val="1247768188"/>
          <w:placeholder>
            <w:docPart w:val="094A48B080684960BF3A114CBE910244"/>
          </w:placeholder>
        </w:sdtPr>
        <w:sdtEndPr/>
        <w:sdtContent>
          <w:bookmarkStart w:id="8" w:name="_Toc505502734"/>
          <w:bookmarkStart w:id="9" w:name="_Toc496701006"/>
          <w:bookmarkStart w:id="10" w:name="_Toc496701035"/>
          <w:bookmarkStart w:id="11" w:name="_Toc504318163"/>
          <w:r w:rsidR="008D5EAF" w:rsidRPr="009C0F32">
            <w:rPr>
              <w:b/>
              <w:bCs/>
              <w:i/>
              <w:color w:val="000000"/>
              <w:szCs w:val="24"/>
            </w:rPr>
            <w:t>Opsioni 0</w:t>
          </w:r>
          <w:r w:rsidR="008D5EAF" w:rsidRPr="00EE0CD0">
            <w:rPr>
              <w:bCs/>
              <w:i/>
              <w:color w:val="000000"/>
              <w:szCs w:val="24"/>
            </w:rPr>
            <w:t xml:space="preserve"> – status quo-ja</w:t>
          </w:r>
          <w:bookmarkEnd w:id="8"/>
          <w:bookmarkEnd w:id="9"/>
          <w:bookmarkEnd w:id="10"/>
          <w:bookmarkEnd w:id="11"/>
          <w:r w:rsidR="008D5EAF">
            <w:rPr>
              <w:bCs/>
              <w:i/>
              <w:color w:val="000000"/>
              <w:szCs w:val="24"/>
            </w:rPr>
            <w:t xml:space="preserve">  </w:t>
          </w:r>
          <w:r w:rsidR="008D5EAF" w:rsidRPr="00EE0CD0">
            <w:rPr>
              <w:color w:val="000000" w:themeColor="text1"/>
              <w:szCs w:val="24"/>
            </w:rPr>
            <w:t xml:space="preserve">dhe mosbërja e ndryshimeve ligjore, duke pritur që situata të vetërregullohet, pa ndërhyrjen e pushtetit legjislativ. Kjo situatë nuk ka kosto financiare dhe nuk kërkon burime njerëzore, përveç fazës së monitorimit, por nga ana tjetër, nuk jep zgjidhje të </w:t>
          </w:r>
          <w:r w:rsidR="00153FF4">
            <w:rPr>
              <w:color w:val="000000" w:themeColor="text1"/>
              <w:szCs w:val="24"/>
            </w:rPr>
            <w:t xml:space="preserve">të </w:t>
          </w:r>
          <w:r w:rsidR="008D5EAF" w:rsidRPr="00EE0CD0">
            <w:rPr>
              <w:color w:val="000000" w:themeColor="text1"/>
              <w:szCs w:val="24"/>
            </w:rPr>
            <w:t xml:space="preserve">problemit. Të gjitha ato situata juridike që kërkojnë ndërhyrje nëpërmjet ndryshimeve ligjore, ngelen të parregulluara dhe të patrajtuara sipas nevojave të sotme praktike. </w:t>
          </w:r>
          <w:r w:rsidR="008D5EAF" w:rsidRPr="00EE0CD0">
            <w:rPr>
              <w:b/>
              <w:szCs w:val="24"/>
            </w:rPr>
            <w:t>Opsioni 1</w:t>
          </w:r>
          <w:r w:rsidR="00153FF4">
            <w:rPr>
              <w:szCs w:val="24"/>
            </w:rPr>
            <w:t xml:space="preserve">: - </w:t>
          </w:r>
          <w:r w:rsidR="00B37CF6">
            <w:rPr>
              <w:szCs w:val="24"/>
              <w:lang w:val="sq-AL"/>
            </w:rPr>
            <w:t>Ndryshimi i ligjit</w:t>
          </w:r>
          <w:r w:rsidR="00153FF4" w:rsidRPr="00115D74">
            <w:rPr>
              <w:szCs w:val="24"/>
              <w:lang w:val="sq-AL"/>
            </w:rPr>
            <w:t xml:space="preserve"> nr.  8730, datë 18.1.2001, “Për organizimin dhe funksionimin e shërbimit të përmbarimit gjyqësor”, i ndryshuar</w:t>
          </w:r>
          <w:r w:rsidR="00153FF4">
            <w:rPr>
              <w:szCs w:val="24"/>
              <w:lang w:val="sq-AL"/>
            </w:rPr>
            <w:t xml:space="preserve">. Zbatimi i këtij opsioni në praktikë nga institucionet ligjbërëse (Ministria e Drejtësisë), ligjpropozuese (Këshilli i Ministrave) dhe ligjmiratuese (Kuvendi) </w:t>
          </w:r>
          <w:r w:rsidR="00DF027A">
            <w:rPr>
              <w:szCs w:val="24"/>
              <w:lang w:val="sq-AL"/>
            </w:rPr>
            <w:t xml:space="preserve">sjell kosto të ulëta në burime, por nuk i shërben adresimit efektiv dhe real të problematikave që janë evidentuar gjatë zbatimit të këtij ligji nga institucionet zbatuese. </w:t>
          </w:r>
          <w:r w:rsidR="00C52E62">
            <w:rPr>
              <w:szCs w:val="24"/>
              <w:lang w:val="sq-AL"/>
            </w:rPr>
            <w:t xml:space="preserve">Përmbushja e qëllimeve që synohen në rastin konkret kërkojnë ndryshime rrënjësore të parashikimeve ligjore në fuqi të miratuara që në vitin 2001, që lidhen me aspekte të organizimit dhe të funksionimit të këtij shërbimi, të cilat prekin më shumë se 70% të ligjit. Në këto kushte, ndonëse ky opsion paraqet kosto të ulëta kohore dhe monetare, zbatimi i tij do të shoqërohej me kosto negative dhe të pafavorshme në drejtim të risive dhe përshtatjes së kërkesave të ofrimit të këtij shërbimi nga përmbaruesit gjyqësorë shtetërorë me rrethanat aktuale ligjore, politike, sociale dhe ekonomike. </w:t>
          </w:r>
          <w:r w:rsidR="008D5EAF" w:rsidRPr="00763F11">
            <w:rPr>
              <w:b/>
              <w:color w:val="000000" w:themeColor="text1"/>
              <w:szCs w:val="24"/>
            </w:rPr>
            <w:t>Opsioni 2</w:t>
          </w:r>
          <w:r w:rsidR="008D5EAF" w:rsidRPr="00763F11">
            <w:rPr>
              <w:color w:val="000000" w:themeColor="text1"/>
              <w:szCs w:val="24"/>
            </w:rPr>
            <w:t xml:space="preserve"> – </w:t>
          </w:r>
          <w:r w:rsidR="008D5EAF" w:rsidRPr="00763F11">
            <w:rPr>
              <w:b/>
              <w:color w:val="000000" w:themeColor="text1"/>
              <w:szCs w:val="24"/>
            </w:rPr>
            <w:t>Miratimi i një ligji të ri,</w:t>
          </w:r>
          <w:r w:rsidR="003E013A" w:rsidRPr="00763F11">
            <w:rPr>
              <w:color w:val="000000" w:themeColor="text1"/>
              <w:szCs w:val="24"/>
            </w:rPr>
            <w:t xml:space="preserve"> i cili do të </w:t>
          </w:r>
          <w:r w:rsidR="003E013A" w:rsidRPr="00763F11">
            <w:rPr>
              <w:color w:val="000000" w:themeColor="text1"/>
              <w:szCs w:val="24"/>
              <w:lang w:val="sq-AL"/>
            </w:rPr>
            <w:t xml:space="preserve">reformonte Shërbimin Përmbarimor Gjyqësor Shtetëror </w:t>
          </w:r>
          <w:r w:rsidR="003E013A" w:rsidRPr="00763F11">
            <w:rPr>
              <w:szCs w:val="24"/>
              <w:lang w:val="sq-AL" w:eastAsia="sq-AL"/>
            </w:rPr>
            <w:t xml:space="preserve">parashikohet të ketë këto përparësi dhe efekte të pritshme: </w:t>
          </w:r>
          <w:r w:rsidR="003E013A" w:rsidRPr="00A133AC">
            <w:rPr>
              <w:b/>
              <w:i/>
              <w:szCs w:val="24"/>
              <w:lang w:val="sq-AL" w:eastAsia="sq-AL"/>
            </w:rPr>
            <w:t>(a)</w:t>
          </w:r>
          <w:r w:rsidR="003E013A" w:rsidRPr="00763F11">
            <w:rPr>
              <w:szCs w:val="24"/>
              <w:lang w:val="sq-AL" w:eastAsia="sq-AL"/>
            </w:rPr>
            <w:t xml:space="preserve"> garanton një proces emërimi dhe promovimi të përmbaruesve gjyqësore, të bazuar në kritere transparente, objektive dhe meritokracie; </w:t>
          </w:r>
          <w:r w:rsidR="00763F11" w:rsidRPr="00A133AC">
            <w:rPr>
              <w:b/>
              <w:i/>
              <w:szCs w:val="24"/>
              <w:lang w:val="sq-AL" w:eastAsia="sq-AL"/>
            </w:rPr>
            <w:t>(b)</w:t>
          </w:r>
          <w:r w:rsidR="00763F11" w:rsidRPr="00763F11">
            <w:rPr>
              <w:szCs w:val="24"/>
              <w:lang w:val="sq-AL" w:eastAsia="sq-AL"/>
            </w:rPr>
            <w:t xml:space="preserve"> </w:t>
          </w:r>
          <w:r w:rsidR="003E013A" w:rsidRPr="00763F11">
            <w:rPr>
              <w:szCs w:val="24"/>
              <w:lang w:val="sq-AL" w:eastAsia="sq-AL"/>
            </w:rPr>
            <w:t xml:space="preserve">rikoncepton sistemin e rekrutimit të përmbaruesve gjyqësorë shtetërorë dhe të vazhdimësisë së tyre, duke zgjeruar e forcuar më tej kriteret objektive për rekrutimin dhe vlerësimin e aftësive profesionale, para dhe pas emërimit; </w:t>
          </w:r>
          <w:r w:rsidR="00763F11" w:rsidRPr="00A133AC">
            <w:rPr>
              <w:b/>
              <w:i/>
              <w:szCs w:val="24"/>
              <w:lang w:val="sq-AL" w:eastAsia="sq-AL"/>
            </w:rPr>
            <w:t>(c)</w:t>
          </w:r>
          <w:r w:rsidR="00763F11" w:rsidRPr="00763F11">
            <w:rPr>
              <w:szCs w:val="24"/>
              <w:lang w:val="sq-AL" w:eastAsia="sq-AL"/>
            </w:rPr>
            <w:t xml:space="preserve"> </w:t>
          </w:r>
          <w:r w:rsidR="003E013A" w:rsidRPr="00763F11">
            <w:rPr>
              <w:szCs w:val="24"/>
              <w:lang w:val="sq-AL" w:eastAsia="sq-AL"/>
            </w:rPr>
            <w:t xml:space="preserve">rregullon në mënyrë të qartë dhe të plotë çdo aspekt që lidhet me veprimtarinë e përmbarimit gjyqësor shtetëror në të njëjtën linjë me përmbaruesin gjyqësor privat, të drejtat dhe detyrimet e tyre gjatë ushtrimit të veprimtarisë përmbarimore; </w:t>
          </w:r>
          <w:r w:rsidR="00763F11" w:rsidRPr="00A133AC">
            <w:rPr>
              <w:b/>
              <w:i/>
              <w:szCs w:val="24"/>
              <w:lang w:val="sq-AL" w:eastAsia="sq-AL"/>
            </w:rPr>
            <w:t xml:space="preserve">(ç) </w:t>
          </w:r>
          <w:r w:rsidR="003E013A" w:rsidRPr="00763F11">
            <w:rPr>
              <w:szCs w:val="24"/>
              <w:lang w:val="sq-AL" w:eastAsia="sq-AL"/>
            </w:rPr>
            <w:t xml:space="preserve">rregullon në mënyrë të qartë komandimin dhe transferimin e tyre në zyra të tjera përmbarimore apo në Drejtorinë e Përgjithshme të Përmbarimit; </w:t>
          </w:r>
          <w:r w:rsidR="00763F11" w:rsidRPr="00A133AC">
            <w:rPr>
              <w:b/>
              <w:i/>
              <w:szCs w:val="24"/>
              <w:lang w:val="sq-AL" w:eastAsia="sq-AL"/>
            </w:rPr>
            <w:t>(d)</w:t>
          </w:r>
          <w:r w:rsidR="00763F11" w:rsidRPr="00763F11">
            <w:rPr>
              <w:szCs w:val="24"/>
              <w:lang w:val="sq-AL" w:eastAsia="sq-AL"/>
            </w:rPr>
            <w:t xml:space="preserve"> </w:t>
          </w:r>
          <w:r w:rsidR="003E013A" w:rsidRPr="00763F11">
            <w:rPr>
              <w:szCs w:val="24"/>
              <w:lang w:val="sq-AL" w:eastAsia="sq-AL"/>
            </w:rPr>
            <w:t xml:space="preserve">përcakton një sistem të mirëfilltë dhe transparent vlerësimi etik dhe profesional të përmbaruesve gjyqësorë privatë dhe kryetarëve të zyrave përmbarimore, duke përcaktuar kritere të qarta </w:t>
          </w:r>
          <w:r w:rsidR="003E013A" w:rsidRPr="00763F11">
            <w:rPr>
              <w:szCs w:val="24"/>
              <w:lang w:val="sq-AL" w:eastAsia="sq-AL"/>
            </w:rPr>
            <w:lastRenderedPageBreak/>
            <w:t>vlerësimi, burimet e vlerësimit, nivelet e vlerësimit, si dhe procedurën e vlerësimit që ndiqe</w:t>
          </w:r>
          <w:r w:rsidR="00763F11" w:rsidRPr="00763F11">
            <w:rPr>
              <w:szCs w:val="24"/>
              <w:lang w:val="sq-AL" w:eastAsia="sq-AL"/>
            </w:rPr>
            <w:t xml:space="preserve">t përkatësisht në të dy rastet; </w:t>
          </w:r>
          <w:r w:rsidR="00763F11" w:rsidRPr="00A133AC">
            <w:rPr>
              <w:b/>
              <w:i/>
              <w:szCs w:val="24"/>
              <w:lang w:val="sq-AL" w:eastAsia="sq-AL"/>
            </w:rPr>
            <w:t>(dh)</w:t>
          </w:r>
          <w:r w:rsidR="00763F11" w:rsidRPr="00763F11">
            <w:rPr>
              <w:szCs w:val="24"/>
              <w:lang w:val="sq-AL" w:eastAsia="sq-AL"/>
            </w:rPr>
            <w:t xml:space="preserve"> </w:t>
          </w:r>
          <w:r w:rsidR="003E013A" w:rsidRPr="00763F11">
            <w:rPr>
              <w:szCs w:val="24"/>
              <w:lang w:val="sq-AL" w:eastAsia="sq-AL"/>
            </w:rPr>
            <w:t xml:space="preserve">rregullon në mënyrë të hollësishme përgjegjësinë disiplinore të përmbaruesit gjyqësor shtetëror, duke detajuar procedurën disiplinore si dhe të drejtat e subjektit që i nënshtrohet procedimit, shkeljet disiplinore të kryera nga përmbaruesit dhe masat proporcionale në përputhje me shkeljet, duke e orientuar sistemin e përgjegjësisë disiplinore mbi kritere sa më objektive; </w:t>
          </w:r>
          <w:r w:rsidR="00763F11" w:rsidRPr="00A133AC">
            <w:rPr>
              <w:b/>
              <w:i/>
              <w:szCs w:val="24"/>
              <w:lang w:val="sq-AL" w:eastAsia="sq-AL"/>
            </w:rPr>
            <w:t>(e)</w:t>
          </w:r>
          <w:r w:rsidR="00763F11" w:rsidRPr="00763F11">
            <w:rPr>
              <w:szCs w:val="24"/>
              <w:lang w:val="sq-AL" w:eastAsia="sq-AL"/>
            </w:rPr>
            <w:t xml:space="preserve"> </w:t>
          </w:r>
          <w:r w:rsidR="003E013A" w:rsidRPr="00763F11">
            <w:rPr>
              <w:szCs w:val="24"/>
              <w:lang w:val="sq-AL" w:eastAsia="sq-AL"/>
            </w:rPr>
            <w:t>përmirëson trajtimin financiar në masë të mjaftueshme  me  natyrën e përgjegjësisë së funksionit të përmbaruesit gjyqësor, shkallën e vështirësisë në përmbushjen e tij, numrin e lartë të papajtueshmërisë dhe ndalimeve të posacme për të kryer veprimtari të tjera që sjellin të ardhura, nevojën për t’i mbrojtur nga presionet dhe ndikimet në veprimtarinë e ekzekutimit, si dhe nevojat e integrimit social</w:t>
          </w:r>
          <w:r w:rsidR="00763F11" w:rsidRPr="00763F11">
            <w:rPr>
              <w:szCs w:val="24"/>
              <w:lang w:val="sq-AL" w:eastAsia="sq-AL"/>
            </w:rPr>
            <w:t xml:space="preserve"> të tij dhe familjes në shoqëri</w:t>
          </w:r>
        </w:sdtContent>
      </w:sdt>
      <w:r w:rsidR="00563378" w:rsidRPr="00563378">
        <w:rPr>
          <w:rFonts w:eastAsiaTheme="majorEastAsia"/>
          <w:color w:val="808080" w:themeColor="background1" w:themeShade="80"/>
        </w:rPr>
        <w:t>.</w:t>
      </w:r>
    </w:p>
    <w:p w14:paraId="38233EFF" w14:textId="45DC09F9"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2" w:name="_Hlk506916825" w:displacedByCustomXml="prev"/>
        <w:p w14:paraId="4C2051C8"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EEE4232" w14:textId="77777777"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656E3827"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02D7F862"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326087AB"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416A37" w14:textId="6ED3752E"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413A5D5A" w14:textId="3C5CE3FC"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0E48AD0E" w14:textId="076371C2"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1523AD82"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3FA4B359" w14:textId="2BC6772B"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2A4965F" w14:textId="352220CF"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2F29AF67"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bookmarkStart w:id="13" w:name="_Hlk506917230"/>
          <w:bookmarkEnd w:id="12"/>
          <w:r w:rsidRPr="0032145B">
            <w:rPr>
              <w:rFonts w:cs="Times New Roman"/>
              <w:i/>
              <w:sz w:val="24"/>
              <w:szCs w:val="24"/>
              <w:lang w:val="sq-AL"/>
            </w:rPr>
            <w:t>Jepni supozimet në të cilat janë bazuar parashikimet dhe risqet, të cilave ato u nënshtrohen.</w:t>
          </w:r>
        </w:p>
        <w:p w14:paraId="0271CC12" w14:textId="6A4CCF7F"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5D0C1620" w14:textId="3C215225"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33B9A856"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747BB57E"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01586808" w14:textId="2862C8D1"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3" w:displacedByCustomXml="next"/>
      </w:sdtContent>
    </w:sdt>
    <w:bookmarkStart w:id="14" w:name="_Toc506919738" w:displacedByCustomXml="prev"/>
    <w:bookmarkEnd w:id="14"/>
    <w:p w14:paraId="0E6E16DC" w14:textId="40AA7418" w:rsidR="00563378" w:rsidRPr="00563378" w:rsidRDefault="00C278E6" w:rsidP="00807755">
      <w:pPr>
        <w:spacing w:before="240" w:line="276" w:lineRule="auto"/>
        <w:jc w:val="both"/>
        <w:rPr>
          <w:color w:val="808080" w:themeColor="background1" w:themeShade="80"/>
          <w:szCs w:val="24"/>
          <w:lang w:val="sq-AL"/>
        </w:rPr>
      </w:pPr>
      <w:sdt>
        <w:sdtPr>
          <w:rPr>
            <w:rFonts w:eastAsiaTheme="majorEastAsia"/>
            <w:color w:val="808080" w:themeColor="background1" w:themeShade="80"/>
          </w:rPr>
          <w:id w:val="1625265021"/>
          <w:placeholder>
            <w:docPart w:val="867EF0DB10CB4A10BB29112D1FCD9786"/>
          </w:placeholder>
        </w:sdtPr>
        <w:sdtEndPr/>
        <w:sdtContent>
          <w:r w:rsidR="00135A55">
            <w:rPr>
              <w:b/>
              <w:color w:val="000000" w:themeColor="text1"/>
              <w:szCs w:val="24"/>
              <w:lang w:val="sq-AL"/>
            </w:rPr>
            <w:t xml:space="preserve">Grupet e prekura: </w:t>
          </w:r>
          <w:r w:rsidR="00135A55" w:rsidRPr="00AF0BFE">
            <w:rPr>
              <w:color w:val="000000" w:themeColor="text1"/>
              <w:szCs w:val="24"/>
              <w:lang w:val="sq-AL"/>
            </w:rPr>
            <w:t xml:space="preserve">Miratimi i një projektligji të ri për shërbimin përmbarimor gjyqësor shtetëror do të ketë impakt pozitiv tek </w:t>
          </w:r>
          <w:r w:rsidR="00135A55" w:rsidRPr="00F61ABB">
            <w:rPr>
              <w:b/>
              <w:color w:val="000000" w:themeColor="text1"/>
              <w:szCs w:val="24"/>
              <w:lang w:val="sq-AL"/>
            </w:rPr>
            <w:t>përmbaruesit gjyqësorë shtetërorë, tek institucionet dhe subjektet të cilët janë të detyruar</w:t>
          </w:r>
          <w:r w:rsidR="00807755">
            <w:rPr>
              <w:b/>
              <w:color w:val="000000" w:themeColor="text1"/>
              <w:szCs w:val="24"/>
              <w:lang w:val="sq-AL"/>
            </w:rPr>
            <w:t xml:space="preserve"> ligjërisht</w:t>
          </w:r>
          <w:r w:rsidR="00135A55" w:rsidRPr="00F61ABB">
            <w:rPr>
              <w:b/>
              <w:color w:val="000000" w:themeColor="text1"/>
              <w:szCs w:val="24"/>
              <w:lang w:val="sq-AL"/>
            </w:rPr>
            <w:t xml:space="preserve"> të bashkëpunojnë me përmbaruesit gjyqësorë duke ofruar të gjithë ndihmën dhe mbështetjen e nevojshme për </w:t>
          </w:r>
          <w:r w:rsidR="00AF0BFE" w:rsidRPr="00F61ABB">
            <w:rPr>
              <w:b/>
              <w:color w:val="000000" w:themeColor="text1"/>
              <w:szCs w:val="24"/>
              <w:lang w:val="sq-AL"/>
            </w:rPr>
            <w:t>ekzekutimin e titujve ekzekutivë, si dhe tek shoqëria shqiptare</w:t>
          </w:r>
          <w:r w:rsidR="00AF0BFE" w:rsidRPr="00AF0BFE">
            <w:rPr>
              <w:color w:val="000000" w:themeColor="text1"/>
              <w:szCs w:val="24"/>
              <w:lang w:val="sq-AL"/>
            </w:rPr>
            <w:t>.</w:t>
          </w:r>
          <w:r w:rsidR="00AF0BFE">
            <w:rPr>
              <w:b/>
              <w:color w:val="000000" w:themeColor="text1"/>
              <w:szCs w:val="24"/>
              <w:lang w:val="sq-AL"/>
            </w:rPr>
            <w:t xml:space="preserve"> </w:t>
          </w:r>
          <w:r w:rsidR="00AF0BFE" w:rsidRPr="00AF0BFE">
            <w:rPr>
              <w:color w:val="000000" w:themeColor="text1"/>
              <w:szCs w:val="24"/>
              <w:lang w:val="sq-AL"/>
            </w:rPr>
            <w:t>Në mënyrë më të</w:t>
          </w:r>
          <w:r w:rsidR="00807755">
            <w:rPr>
              <w:color w:val="000000" w:themeColor="text1"/>
              <w:szCs w:val="24"/>
              <w:lang w:val="sq-AL"/>
            </w:rPr>
            <w:t xml:space="preserve"> detajuar, sa i </w:t>
          </w:r>
          <w:r w:rsidR="00AF0BFE" w:rsidRPr="00AF0BFE">
            <w:rPr>
              <w:color w:val="000000" w:themeColor="text1"/>
              <w:szCs w:val="24"/>
              <w:lang w:val="sq-AL"/>
            </w:rPr>
            <w:t xml:space="preserve">takon </w:t>
          </w:r>
          <w:r w:rsidR="00AF0BFE" w:rsidRPr="00AF0BFE">
            <w:rPr>
              <w:b/>
              <w:color w:val="000000" w:themeColor="text1"/>
              <w:szCs w:val="24"/>
              <w:lang w:val="sq-AL"/>
            </w:rPr>
            <w:t>përmbaruesve gjyqësorë shtetërorë</w:t>
          </w:r>
          <w:r w:rsidR="00AF0BFE" w:rsidRPr="00AF0BFE">
            <w:rPr>
              <w:color w:val="000000" w:themeColor="text1"/>
              <w:szCs w:val="24"/>
              <w:lang w:val="sq-AL"/>
            </w:rPr>
            <w:t xml:space="preserve"> që aktualisht ushtrojnë detyrat e tyre, projektligji do të sjellë impakt shumë pozitiv, për shkak të forcimit të të drejtave dhe garancive për ushtrimin e këtij profesioni me përkushtim dhe profesionalizëm, nisur edhe përmirësimi i trajtimit financiar dhe përfitimeve të tjera që projektligji synon të sanksionojë për ta.</w:t>
          </w:r>
          <w:r w:rsidR="00AF0BFE">
            <w:rPr>
              <w:b/>
              <w:color w:val="000000" w:themeColor="text1"/>
              <w:szCs w:val="24"/>
              <w:lang w:val="sq-AL"/>
            </w:rPr>
            <w:t xml:space="preserve"> </w:t>
          </w:r>
          <w:r w:rsidR="00AF0BFE" w:rsidRPr="00F61ABB">
            <w:rPr>
              <w:color w:val="000000" w:themeColor="text1"/>
              <w:szCs w:val="24"/>
              <w:lang w:val="sq-AL"/>
            </w:rPr>
            <w:t>Konkretisht,</w:t>
          </w:r>
          <w:r w:rsidR="00AF0BFE">
            <w:rPr>
              <w:b/>
              <w:color w:val="000000" w:themeColor="text1"/>
              <w:szCs w:val="24"/>
              <w:lang w:val="sq-AL"/>
            </w:rPr>
            <w:t xml:space="preserve"> </w:t>
          </w:r>
          <w:r w:rsidR="00BE70DD">
            <w:rPr>
              <w:lang w:val="sq-AL"/>
            </w:rPr>
            <w:t>p</w:t>
          </w:r>
          <w:r w:rsidR="00AF0BFE" w:rsidRPr="00584065">
            <w:rPr>
              <w:lang w:val="sq-AL"/>
            </w:rPr>
            <w:t xml:space="preserve">aga e përmbaruesit gjyqësor shtetëror </w:t>
          </w:r>
          <w:r w:rsidR="00BE70DD">
            <w:rPr>
              <w:lang w:val="sq-AL"/>
            </w:rPr>
            <w:t xml:space="preserve">do të jetë </w:t>
          </w:r>
          <w:r w:rsidR="00AF0BFE" w:rsidRPr="00584065">
            <w:rPr>
              <w:lang w:val="sq-AL"/>
            </w:rPr>
            <w:t xml:space="preserve">e barabartë me 60% të pagës bruto fillestare të gjyqtarit që ushtron funksionet në gjykatat e juridiksionit të përgjithshëm të shkallës së parë, sipas legjislacionit në fuqi për statusin e gjyqtarëve. Pas 3 vjetësh në shërbimin përmbarimor gjyqësor shtetëror, për çdo vit vjetërsi, deri në 25 vjet shërbim, kjo pagë shtohet me 2 përqind në vit, sipas legjislacionit në fuqi për statusin e gjyqtarëve. Kryetarët </w:t>
          </w:r>
          <w:r w:rsidR="00AF0BFE" w:rsidRPr="00584065">
            <w:rPr>
              <w:lang w:val="sq-AL"/>
            </w:rPr>
            <w:lastRenderedPageBreak/>
            <w:t>e zyrave përmbarimore</w:t>
          </w:r>
          <w:r w:rsidR="00BE70DD">
            <w:rPr>
              <w:lang w:val="sq-AL"/>
            </w:rPr>
            <w:t xml:space="preserve"> do të </w:t>
          </w:r>
          <w:r w:rsidR="00AF0BFE" w:rsidRPr="00584065">
            <w:rPr>
              <w:lang w:val="sq-AL"/>
            </w:rPr>
            <w:t xml:space="preserve">përfitojnë shtesë page 10 për qind të pagës së përmbaruesit gjyqësor shtetëror. </w:t>
          </w:r>
          <w:r w:rsidR="00BE70DD">
            <w:rPr>
              <w:lang w:val="sq-AL"/>
            </w:rPr>
            <w:t>Gjithashtu, p</w:t>
          </w:r>
          <w:r w:rsidR="00AF0BFE" w:rsidRPr="00584065">
            <w:rPr>
              <w:lang w:val="sq-AL"/>
            </w:rPr>
            <w:t xml:space="preserve">ërmbaruesit gjyqësorë shtetërorë në varësi të rezultateve të punës, mund të përfitojnë shpërblime për merita profesionale. </w:t>
          </w:r>
          <w:r w:rsidR="00BE70DD">
            <w:rPr>
              <w:color w:val="000000"/>
              <w:lang w:val="sq-AL"/>
            </w:rPr>
            <w:t xml:space="preserve">Përpos këtyre, projektligji garanton përditësimin dhe përforcimin e kompetencave dhe aftësive të tyre profesionale nëpërmjet organizimit të trajnimeve vazhduese në mënyrë të vazhdueshme sipas një programi trajnimi që do të miratohet me akt nënligjor të Ministrit. </w:t>
          </w:r>
          <w:r w:rsidR="00F61ABB">
            <w:rPr>
              <w:color w:val="000000"/>
              <w:lang w:val="sq-AL"/>
            </w:rPr>
            <w:t xml:space="preserve">Sa i takon ndikimit </w:t>
          </w:r>
          <w:r w:rsidR="00F61ABB" w:rsidRPr="00F61ABB">
            <w:rPr>
              <w:b/>
              <w:color w:val="000000"/>
              <w:lang w:val="sq-AL"/>
            </w:rPr>
            <w:t>në institucionet shtetërore apo në subjektet private</w:t>
          </w:r>
          <w:r w:rsidR="00F61ABB">
            <w:rPr>
              <w:color w:val="000000"/>
              <w:lang w:val="sq-AL"/>
            </w:rPr>
            <w:t>, sqarojmë se për shkak të natyrës së veprimtarisë përmbarimore, përmbaruesit gjyqësorë bashkëpunojnë me struktura të ndryshme shtetërore. Kështu, sipas nenit 523 të Kodit të Procedurës Civile, k</w:t>
          </w:r>
          <w:r w:rsidR="00F61ABB" w:rsidRPr="00F61ABB">
            <w:rPr>
              <w:color w:val="000000"/>
              <w:lang w:val="sq-AL"/>
            </w:rPr>
            <w:t>ur për ekzekutimin e detyrueshëm është e nevojshme të çelet banesa ose ndonjë ndërtesë tjetër e</w:t>
          </w:r>
          <w:r w:rsidR="00F61ABB">
            <w:rPr>
              <w:color w:val="000000"/>
              <w:lang w:val="sq-AL"/>
            </w:rPr>
            <w:t xml:space="preserve"> </w:t>
          </w:r>
          <w:r w:rsidR="00F61ABB" w:rsidRPr="00F61ABB">
            <w:rPr>
              <w:color w:val="000000"/>
              <w:lang w:val="sq-AL"/>
            </w:rPr>
            <w:t>debitorit, pa praninë e tij ose të një personi madhor të familjes së tij, me kërkesë të përmbaruesit gjyqësor,</w:t>
          </w:r>
          <w:r w:rsidR="00F61ABB">
            <w:rPr>
              <w:color w:val="000000"/>
              <w:lang w:val="sq-AL"/>
            </w:rPr>
            <w:t xml:space="preserve"> </w:t>
          </w:r>
          <w:r w:rsidR="00F61ABB" w:rsidRPr="00F61ABB">
            <w:rPr>
              <w:color w:val="000000"/>
              <w:lang w:val="sq-AL"/>
            </w:rPr>
            <w:t>detyrohet të jetë i pranishëm përfaqësuesi i njësisë së qeverisjes vendore.</w:t>
          </w:r>
          <w:r w:rsidR="00F61ABB" w:rsidRPr="00F61ABB">
            <w:t xml:space="preserve"> </w:t>
          </w:r>
          <w:r w:rsidR="00F61ABB" w:rsidRPr="00F61ABB">
            <w:rPr>
              <w:color w:val="000000"/>
              <w:lang w:val="sq-AL"/>
            </w:rPr>
            <w:t>Në rast nevoje, me kërkesë të përmbaruesit gjyqësor, Policia e Rendit detyrohet ta mbështesë atë</w:t>
          </w:r>
          <w:r w:rsidR="00F61ABB">
            <w:rPr>
              <w:color w:val="000000"/>
              <w:lang w:val="sq-AL"/>
            </w:rPr>
            <w:t xml:space="preserve"> </w:t>
          </w:r>
          <w:r w:rsidR="00F61ABB" w:rsidRPr="00F61ABB">
            <w:rPr>
              <w:color w:val="000000"/>
              <w:lang w:val="sq-AL"/>
            </w:rPr>
            <w:t>gjatë procedurave të ekzekutimit.</w:t>
          </w:r>
          <w:r w:rsidR="00F61ABB">
            <w:rPr>
              <w:color w:val="000000"/>
              <w:lang w:val="sq-AL"/>
            </w:rPr>
            <w:t xml:space="preserve"> </w:t>
          </w:r>
          <w:r w:rsidR="00F61ABB" w:rsidRPr="00F61ABB">
            <w:rPr>
              <w:color w:val="000000"/>
              <w:lang w:val="sq-AL"/>
            </w:rPr>
            <w:t>Kur për ekzekutimin e detyrueshëm është e nevojshme të prishet objekti, të lirohet trualli, të</w:t>
          </w:r>
          <w:r w:rsidR="00F61ABB">
            <w:rPr>
              <w:color w:val="000000"/>
              <w:lang w:val="sq-AL"/>
            </w:rPr>
            <w:t xml:space="preserve"> </w:t>
          </w:r>
          <w:r w:rsidR="00F61ABB" w:rsidRPr="00F61ABB">
            <w:rPr>
              <w:color w:val="000000"/>
              <w:lang w:val="sq-AL"/>
            </w:rPr>
            <w:t>pezullohen punimet, me kërkesë të përmbaruesit gjyqësor, inspektorati ndërtimor pranë pushtetit vendor</w:t>
          </w:r>
          <w:r w:rsidR="00F61ABB">
            <w:rPr>
              <w:color w:val="000000"/>
              <w:lang w:val="sq-AL"/>
            </w:rPr>
            <w:t xml:space="preserve"> </w:t>
          </w:r>
          <w:r w:rsidR="00F61ABB" w:rsidRPr="00F61ABB">
            <w:rPr>
              <w:color w:val="000000"/>
              <w:lang w:val="sq-AL"/>
            </w:rPr>
            <w:t>dhe Inspektorati Kombëtar detyrohen të mbështesin përmbaruesin gjyqësor gjatë procedurave të</w:t>
          </w:r>
          <w:r w:rsidR="00F61ABB">
            <w:rPr>
              <w:color w:val="000000"/>
              <w:lang w:val="sq-AL"/>
            </w:rPr>
            <w:t xml:space="preserve"> </w:t>
          </w:r>
          <w:r w:rsidR="00F61ABB" w:rsidRPr="00F61ABB">
            <w:rPr>
              <w:color w:val="000000"/>
              <w:lang w:val="sq-AL"/>
            </w:rPr>
            <w:t>ekzekutimit.</w:t>
          </w:r>
          <w:r w:rsidR="00F61ABB">
            <w:rPr>
              <w:color w:val="000000"/>
              <w:lang w:val="sq-AL"/>
            </w:rPr>
            <w:t xml:space="preserve"> Gjithashtu, p</w:t>
          </w:r>
          <w:r w:rsidR="00F61ABB" w:rsidRPr="00F61ABB">
            <w:rPr>
              <w:color w:val="000000"/>
              <w:lang w:val="sq-AL"/>
            </w:rPr>
            <w:t>ër ekzekutimin e titujve ekzekutivë, me objekt “Takim dhe kujdestari fëmije”, përmbaruesi</w:t>
          </w:r>
          <w:r w:rsidR="00F61ABB">
            <w:rPr>
              <w:color w:val="000000"/>
              <w:lang w:val="sq-AL"/>
            </w:rPr>
            <w:t xml:space="preserve"> </w:t>
          </w:r>
          <w:r w:rsidR="00F61ABB" w:rsidRPr="00F61ABB">
            <w:rPr>
              <w:color w:val="000000"/>
              <w:lang w:val="sq-AL"/>
            </w:rPr>
            <w:t xml:space="preserve">gjyqësor kërkon asistencën e psikologut, kur ky i fundit është i detyruar në </w:t>
          </w:r>
          <w:r w:rsidR="00F61ABB">
            <w:rPr>
              <w:color w:val="000000"/>
              <w:lang w:val="sq-AL"/>
            </w:rPr>
            <w:t>bazë të ligjit për bashkëpunim. Pra, në procesin e ekzekutimit të detyrueshëm të titujve ekzekutivë përfshihen një sërë subjektesh ku secili duhet të ketë rolin e tij të mirëpërcaktuar</w:t>
          </w:r>
          <w:r w:rsidR="00BC26DC">
            <w:rPr>
              <w:color w:val="000000"/>
              <w:lang w:val="sq-AL"/>
            </w:rPr>
            <w:t>. Në këtë drejtim, rregullat për bashkëpunimin e shërbimit përmbarimor gjyqësor shtetëror janë përcaktuar në projektligj, duke mbajtur në</w:t>
          </w:r>
          <w:r w:rsidR="00AD63C8">
            <w:rPr>
              <w:color w:val="000000"/>
              <w:lang w:val="sq-AL"/>
            </w:rPr>
            <w:t xml:space="preserve"> ko</w:t>
          </w:r>
          <w:r w:rsidR="00BC26DC">
            <w:rPr>
              <w:color w:val="000000"/>
              <w:lang w:val="sq-AL"/>
            </w:rPr>
            <w:t>n</w:t>
          </w:r>
          <w:r w:rsidR="00AD63C8">
            <w:rPr>
              <w:color w:val="000000"/>
              <w:lang w:val="sq-AL"/>
            </w:rPr>
            <w:t>s</w:t>
          </w:r>
          <w:r w:rsidR="00BC26DC">
            <w:rPr>
              <w:color w:val="000000"/>
              <w:lang w:val="sq-AL"/>
            </w:rPr>
            <w:t xml:space="preserve">ideratë rregullat që janë vendosur për këtë çështje në ligjin nr. 26/2019, </w:t>
          </w:r>
          <w:r w:rsidR="00AD63C8">
            <w:rPr>
              <w:color w:val="000000"/>
              <w:lang w:val="sq-AL"/>
            </w:rPr>
            <w:t xml:space="preserve">“Për shërbimin përmbarimor gjyqësor privat”, me qëllim shmangien e aplikimit të rregullave apo standardeve të ndryshme në rastet kur përmbaruesi gjyqësor shtetëror ka nevojë për ndihmën, prezencën apo mbështetjen nga një institucion shtetëror apo subjekt privat. </w:t>
          </w:r>
          <w:r w:rsidR="008C277C">
            <w:rPr>
              <w:color w:val="000000"/>
              <w:lang w:val="sq-AL"/>
            </w:rPr>
            <w:t xml:space="preserve">Në lidhje me </w:t>
          </w:r>
          <w:r w:rsidR="008C277C" w:rsidRPr="008C277C">
            <w:rPr>
              <w:b/>
              <w:color w:val="000000"/>
              <w:lang w:val="sq-AL"/>
            </w:rPr>
            <w:t>ndikimin në shoqëri</w:t>
          </w:r>
          <w:r w:rsidR="008C277C">
            <w:rPr>
              <w:color w:val="000000"/>
              <w:lang w:val="sq-AL"/>
            </w:rPr>
            <w:t xml:space="preserve"> në tërësi, vlerësojmë se s</w:t>
          </w:r>
          <w:r w:rsidR="008C277C" w:rsidRPr="008C277C">
            <w:rPr>
              <w:color w:val="000000"/>
              <w:lang w:val="sq-AL"/>
            </w:rPr>
            <w:t xml:space="preserve">hoqëria është një nga grupet e prekura nga ndërmarrja e kësaj politike. Ndikimi më i rëndësishëm është ai i rritjes </w:t>
          </w:r>
          <w:r w:rsidR="008C277C">
            <w:rPr>
              <w:color w:val="000000"/>
              <w:lang w:val="sq-AL"/>
            </w:rPr>
            <w:t xml:space="preserve">së besueshmërisë në ekzekutimin e vendimeve gjyqësore në mënyrë efektive, pa kaluar në procedura abuzuese apo në tejkalim të afateve, duke realizuar dhe përfituar të drejtat e tyre që u janë dhënë gjyqësisht, si dhe në sistemin e drejtësisë shqiptare. </w:t>
          </w:r>
          <w:r w:rsidR="00135A55" w:rsidRPr="00BE59CE">
            <w:rPr>
              <w:b/>
              <w:color w:val="000000" w:themeColor="text1"/>
              <w:szCs w:val="24"/>
              <w:lang w:val="sq-AL"/>
            </w:rPr>
            <w:t>K</w:t>
          </w:r>
          <w:r w:rsidR="002C0E53" w:rsidRPr="00BE59CE">
            <w:rPr>
              <w:b/>
              <w:color w:val="000000" w:themeColor="text1"/>
              <w:szCs w:val="24"/>
              <w:lang w:val="sq-AL"/>
            </w:rPr>
            <w:t>osto në buxhetin e shtetit:</w:t>
          </w:r>
          <w:r w:rsidR="007E0E31">
            <w:rPr>
              <w:color w:val="000000" w:themeColor="text1"/>
              <w:szCs w:val="24"/>
              <w:lang w:val="sq-AL"/>
            </w:rPr>
            <w:t xml:space="preserve"> </w:t>
          </w:r>
          <w:r w:rsidR="002C0E53" w:rsidRPr="007E0E31">
            <w:rPr>
              <w:szCs w:val="24"/>
              <w:lang w:val="sq-AL"/>
            </w:rPr>
            <w:t xml:space="preserve">Siç përmendet edhe më sipër, efektet financiare që rrjedhin nga miratimi i këtij projektligji </w:t>
          </w:r>
          <w:r w:rsidR="00644480">
            <w:rPr>
              <w:szCs w:val="24"/>
              <w:lang w:val="sq-AL"/>
            </w:rPr>
            <w:t xml:space="preserve">(për pagat e përmbaruesve gjyqësorë shtetërorë) </w:t>
          </w:r>
          <w:r w:rsidR="002C0E53" w:rsidRPr="007E0E31">
            <w:rPr>
              <w:szCs w:val="24"/>
              <w:lang w:val="sq-AL"/>
            </w:rPr>
            <w:t xml:space="preserve">do të përballohen </w:t>
          </w:r>
          <w:r w:rsidR="00E155D6">
            <w:rPr>
              <w:szCs w:val="24"/>
              <w:lang w:val="sq-AL"/>
            </w:rPr>
            <w:t xml:space="preserve">përmes kryerjes së ndryshimeve të nevojshme në PBA 2023-2025, duke shtuar fondet e nevojshme financiare për përballimin e kostove shtesë në rast të miratimit eventual të </w:t>
          </w:r>
          <w:r w:rsidR="005615AE">
            <w:rPr>
              <w:szCs w:val="24"/>
              <w:lang w:val="sq-AL"/>
            </w:rPr>
            <w:t>p</w:t>
          </w:r>
          <w:r w:rsidR="00BE59CE">
            <w:rPr>
              <w:szCs w:val="24"/>
              <w:lang w:val="sq-AL"/>
            </w:rPr>
            <w:t xml:space="preserve">rojektligjit brenda vitit 2022. </w:t>
          </w:r>
          <w:r w:rsidR="005615AE">
            <w:rPr>
              <w:szCs w:val="24"/>
              <w:lang w:val="sq-AL"/>
            </w:rPr>
            <w:t>Në të kundë</w:t>
          </w:r>
          <w:r w:rsidR="00BE59CE">
            <w:rPr>
              <w:szCs w:val="24"/>
              <w:lang w:val="sq-AL"/>
            </w:rPr>
            <w:t xml:space="preserve">rt, </w:t>
          </w:r>
          <w:r w:rsidR="005615AE">
            <w:rPr>
              <w:szCs w:val="24"/>
              <w:lang w:val="sq-AL"/>
            </w:rPr>
            <w:t xml:space="preserve">në rast se projektligji miratohet dhe hyn në fuqi në vitin 2023, kostot financiare do të parashikohen në </w:t>
          </w:r>
          <w:r w:rsidR="005615AE" w:rsidRPr="003D76CC">
            <w:rPr>
              <w:szCs w:val="24"/>
              <w:lang w:val="sq-AL"/>
            </w:rPr>
            <w:t>ligjin e buxhetit për vitin 2</w:t>
          </w:r>
          <w:r w:rsidR="005615AE">
            <w:rPr>
              <w:szCs w:val="24"/>
              <w:lang w:val="sq-AL"/>
            </w:rPr>
            <w:t xml:space="preserve">023. </w:t>
          </w:r>
          <w:r w:rsidR="00E155D6" w:rsidRPr="003D76CC">
            <w:rPr>
              <w:szCs w:val="24"/>
              <w:lang w:val="sq-AL"/>
            </w:rPr>
            <w:t>Kostot monetare për shpenzimet e personelit (</w:t>
          </w:r>
          <w:r w:rsidR="00E155D6" w:rsidRPr="003D76CC">
            <w:rPr>
              <w:i/>
              <w:szCs w:val="24"/>
              <w:lang w:val="sq-AL"/>
            </w:rPr>
            <w:t>paga dhe sigurime shoqërore</w:t>
          </w:r>
          <w:r w:rsidR="00E155D6" w:rsidRPr="003D76CC">
            <w:rPr>
              <w:szCs w:val="24"/>
              <w:lang w:val="sq-AL"/>
            </w:rPr>
            <w:t xml:space="preserve">) </w:t>
          </w:r>
          <w:r w:rsidR="00E155D6" w:rsidRPr="003D76CC">
            <w:rPr>
              <w:bCs/>
              <w:szCs w:val="24"/>
              <w:lang w:val="sq-AL"/>
            </w:rPr>
            <w:t>rriten në masën rreth  85,000,000 lekë, </w:t>
          </w:r>
          <w:r w:rsidR="00E155D6" w:rsidRPr="003D76CC">
            <w:rPr>
              <w:szCs w:val="24"/>
              <w:lang w:val="sq-AL"/>
            </w:rPr>
            <w:t>krahasuar me fonde</w:t>
          </w:r>
          <w:r w:rsidR="005615AE">
            <w:rPr>
              <w:szCs w:val="24"/>
              <w:lang w:val="sq-AL"/>
            </w:rPr>
            <w:t xml:space="preserve">t e planifikuara të vitit 2022. </w:t>
          </w:r>
          <w:r w:rsidR="002C0E53" w:rsidRPr="007E0E31">
            <w:rPr>
              <w:color w:val="000000"/>
              <w:szCs w:val="24"/>
              <w:lang w:val="sq-AL"/>
            </w:rPr>
            <w:t xml:space="preserve">Sektori përgjegjës </w:t>
          </w:r>
          <w:r w:rsidR="005615AE">
            <w:rPr>
              <w:color w:val="000000"/>
              <w:szCs w:val="24"/>
              <w:lang w:val="sq-AL"/>
            </w:rPr>
            <w:t xml:space="preserve">në Ministrinë e Drejtësisë </w:t>
          </w:r>
          <w:r w:rsidR="002C0E53" w:rsidRPr="007E0E31">
            <w:rPr>
              <w:color w:val="000000"/>
              <w:szCs w:val="24"/>
              <w:lang w:val="sq-AL"/>
            </w:rPr>
            <w:t xml:space="preserve">për të monitoruar veprimtarinë e </w:t>
          </w:r>
          <w:r w:rsidR="005615AE">
            <w:rPr>
              <w:color w:val="000000"/>
              <w:szCs w:val="24"/>
              <w:lang w:val="sq-AL"/>
            </w:rPr>
            <w:t xml:space="preserve">Drejtorisë së Përgjithshme të Përmbarimit dhe zyrave vendore përmbarimore </w:t>
          </w:r>
          <w:r w:rsidR="002C0E53" w:rsidRPr="007E0E31">
            <w:rPr>
              <w:color w:val="000000"/>
              <w:szCs w:val="24"/>
              <w:lang w:val="sq-AL"/>
            </w:rPr>
            <w:t xml:space="preserve">do të jetë sektori i </w:t>
          </w:r>
          <w:r w:rsidR="005615AE">
            <w:rPr>
              <w:color w:val="000000"/>
              <w:szCs w:val="24"/>
              <w:lang w:val="sq-AL"/>
            </w:rPr>
            <w:t xml:space="preserve">monitorimit të institucioneve të varësisë, i cili aktualisht i ushtron këto kompetenca në bazë të ligjit organik të Ministrisë së Drejtësisë. Rrjedhimisht, sa i takon organizimit të këtij sektori, nuk do të ketë ndryshime në strukturë apo në natyrën e punës që kryejnë. </w:t>
          </w:r>
          <w:r w:rsidR="002C0E53" w:rsidRPr="00807755">
            <w:rPr>
              <w:rFonts w:eastAsiaTheme="minorHAnsi"/>
              <w:szCs w:val="24"/>
              <w:u w:val="single"/>
              <w:lang w:val="sq-AL"/>
            </w:rPr>
            <w:t>Kostot e drejtpërdrejta për sektorin publik.</w:t>
          </w:r>
          <w:r w:rsidR="00807755">
            <w:rPr>
              <w:rFonts w:eastAsiaTheme="minorHAnsi"/>
              <w:i/>
              <w:szCs w:val="24"/>
              <w:u w:val="single"/>
              <w:lang w:val="sq-AL"/>
            </w:rPr>
            <w:t xml:space="preserve"> </w:t>
          </w:r>
          <w:r w:rsidR="00F93849">
            <w:rPr>
              <w:szCs w:val="24"/>
              <w:lang w:val="sq-AL"/>
            </w:rPr>
            <w:t xml:space="preserve">Shtetasit </w:t>
          </w:r>
          <w:r w:rsidR="002C0E53" w:rsidRPr="007E0E31">
            <w:rPr>
              <w:szCs w:val="24"/>
              <w:lang w:val="sq-AL"/>
            </w:rPr>
            <w:t xml:space="preserve">që kanë interes për të ushtruar profesionin e </w:t>
          </w:r>
          <w:r w:rsidR="00F93849">
            <w:rPr>
              <w:szCs w:val="24"/>
              <w:lang w:val="sq-AL"/>
            </w:rPr>
            <w:t xml:space="preserve">përmbaruesit gjyqësor shtetëror </w:t>
          </w:r>
          <w:r w:rsidR="002C0E53" w:rsidRPr="007E0E31">
            <w:rPr>
              <w:szCs w:val="24"/>
              <w:lang w:val="sq-AL"/>
            </w:rPr>
            <w:t>kr</w:t>
          </w:r>
          <w:r w:rsidR="00F93849">
            <w:rPr>
              <w:szCs w:val="24"/>
              <w:lang w:val="sq-AL"/>
            </w:rPr>
            <w:t xml:space="preserve">yejnë aplikimin përkatës në vijim të shpalljes për të marrë pjesë në konkursin e pranimit në Shërbimin Përmbarimor Gjyqësor Shtetëror, dhe në rast të kalimit me sukses të tij </w:t>
          </w:r>
          <w:r w:rsidR="00F93849" w:rsidRPr="00F93849">
            <w:rPr>
              <w:szCs w:val="24"/>
              <w:lang w:val="sq-AL"/>
            </w:rPr>
            <w:t xml:space="preserve">i nënshtrohen një periudhe prove që zgjat 6 (gjashtë) muaj nga data e aktit të emërimit të ministrit </w:t>
          </w:r>
          <w:r w:rsidR="002C0E53" w:rsidRPr="007E0E31">
            <w:rPr>
              <w:szCs w:val="24"/>
              <w:lang w:val="sq-AL"/>
            </w:rPr>
            <w:t xml:space="preserve">i nënshtrohen trajnimit të detyrueshëm sipas një programi të caktuar që do të miratohet me akt nënligjor, i cili do të organizohet nga </w:t>
          </w:r>
          <w:r w:rsidR="00F93849">
            <w:rPr>
              <w:szCs w:val="24"/>
              <w:lang w:val="sq-AL"/>
            </w:rPr>
            <w:t xml:space="preserve">Drejtoria e Përgjithshme e Përmbarimit ose nga ASPA ose bashkarisht, në varësi të marrëveshjeve të bashkëpunimit. </w:t>
          </w:r>
          <w:r w:rsidR="00F93849" w:rsidRPr="00F93849">
            <w:rPr>
              <w:szCs w:val="24"/>
              <w:lang w:val="sq-AL"/>
            </w:rPr>
            <w:t xml:space="preserve">Në fund të periudhës </w:t>
          </w:r>
          <w:r w:rsidR="00F93849">
            <w:rPr>
              <w:szCs w:val="24"/>
              <w:lang w:val="sq-AL"/>
            </w:rPr>
            <w:t xml:space="preserve">së provës, Ministri i Drejtësisë </w:t>
          </w:r>
          <w:r w:rsidR="00F93849" w:rsidRPr="00F93849">
            <w:rPr>
              <w:szCs w:val="24"/>
              <w:lang w:val="sq-AL"/>
            </w:rPr>
            <w:t xml:space="preserve">me propozimin e Drejtorit të Përgjithshëm, </w:t>
          </w:r>
          <w:r w:rsidR="00F93849">
            <w:rPr>
              <w:szCs w:val="24"/>
              <w:lang w:val="sq-AL"/>
            </w:rPr>
            <w:t xml:space="preserve">do të </w:t>
          </w:r>
          <w:r w:rsidR="00F93849" w:rsidRPr="00F93849">
            <w:rPr>
              <w:szCs w:val="24"/>
              <w:lang w:val="sq-AL"/>
            </w:rPr>
            <w:t>vendos</w:t>
          </w:r>
          <w:r w:rsidR="00F93849">
            <w:rPr>
              <w:szCs w:val="24"/>
              <w:lang w:val="sq-AL"/>
            </w:rPr>
            <w:t>ë</w:t>
          </w:r>
          <w:r w:rsidR="00F93849" w:rsidRPr="00F93849">
            <w:rPr>
              <w:szCs w:val="24"/>
              <w:lang w:val="sq-AL"/>
            </w:rPr>
            <w:t>:</w:t>
          </w:r>
          <w:r w:rsidR="00F93849">
            <w:rPr>
              <w:szCs w:val="24"/>
              <w:lang w:val="sq-AL"/>
            </w:rPr>
            <w:t xml:space="preserve"> </w:t>
          </w:r>
          <w:r w:rsidR="00F93849" w:rsidRPr="00F93849">
            <w:rPr>
              <w:b/>
              <w:i/>
              <w:szCs w:val="24"/>
              <w:lang w:val="sq-AL"/>
            </w:rPr>
            <w:t>a)</w:t>
          </w:r>
          <w:r w:rsidR="00F93849" w:rsidRPr="00F93849">
            <w:rPr>
              <w:szCs w:val="24"/>
              <w:lang w:val="sq-AL"/>
            </w:rPr>
            <w:t xml:space="preserve"> emërimin përfundimtar si përmbarues gjyqësor, ose </w:t>
          </w:r>
          <w:r w:rsidR="00F93849">
            <w:rPr>
              <w:szCs w:val="24"/>
              <w:lang w:val="sq-AL"/>
            </w:rPr>
            <w:t xml:space="preserve"> </w:t>
          </w:r>
          <w:r w:rsidR="00F93849" w:rsidRPr="00F93849">
            <w:rPr>
              <w:b/>
              <w:i/>
              <w:szCs w:val="24"/>
              <w:lang w:val="sq-AL"/>
            </w:rPr>
            <w:t>b)</w:t>
          </w:r>
          <w:r w:rsidR="00F93849" w:rsidRPr="00F93849">
            <w:rPr>
              <w:szCs w:val="24"/>
              <w:lang w:val="sq-AL"/>
            </w:rPr>
            <w:t xml:space="preserve"> largimin nga Shërbimi Përmbarimor Gjyqësor Shtetëror</w:t>
          </w:r>
          <w:r w:rsidR="00F93849">
            <w:rPr>
              <w:szCs w:val="24"/>
              <w:lang w:val="sq-AL"/>
            </w:rPr>
            <w:t xml:space="preserve">. </w:t>
          </w:r>
          <w:r w:rsidR="002C0E53" w:rsidRPr="007E0E31">
            <w:rPr>
              <w:b/>
              <w:bCs/>
              <w:color w:val="000000" w:themeColor="text1"/>
              <w:szCs w:val="24"/>
              <w:lang w:val="sq-AL"/>
            </w:rPr>
            <w:t>Përfitime në buxhetin e shtetit:</w:t>
          </w:r>
          <w:r w:rsidR="00BD3267">
            <w:rPr>
              <w:szCs w:val="24"/>
              <w:lang w:val="sq-AL"/>
            </w:rPr>
            <w:t xml:space="preserve"> </w:t>
          </w:r>
          <w:r w:rsidR="002C0E53" w:rsidRPr="007E0E31">
            <w:rPr>
              <w:color w:val="000000" w:themeColor="text1"/>
              <w:szCs w:val="24"/>
              <w:lang w:val="sq-AL"/>
            </w:rPr>
            <w:t xml:space="preserve">Me anë të kësaj nisme synohet </w:t>
          </w:r>
          <w:r w:rsidR="00BD3267">
            <w:rPr>
              <w:color w:val="000000" w:themeColor="text1"/>
              <w:szCs w:val="24"/>
              <w:lang w:val="sq-AL"/>
            </w:rPr>
            <w:t xml:space="preserve">forcimi i veprimtarisë përmbarimore shtetërore sa i takon </w:t>
          </w:r>
          <w:r w:rsidR="00BD3267">
            <w:rPr>
              <w:color w:val="000000" w:themeColor="text1"/>
              <w:szCs w:val="24"/>
              <w:lang w:val="sq-AL"/>
            </w:rPr>
            <w:lastRenderedPageBreak/>
            <w:t xml:space="preserve">ekzekutimit të </w:t>
          </w:r>
          <w:r w:rsidR="00807755">
            <w:rPr>
              <w:color w:val="000000" w:themeColor="text1"/>
              <w:szCs w:val="24"/>
              <w:lang w:val="sq-AL"/>
            </w:rPr>
            <w:t xml:space="preserve">detyrueshëm të </w:t>
          </w:r>
          <w:r w:rsidR="00BD3267">
            <w:rPr>
              <w:color w:val="000000" w:themeColor="text1"/>
              <w:szCs w:val="24"/>
              <w:lang w:val="sq-AL"/>
            </w:rPr>
            <w:t>titujve ekzekutivë, si dhe shtimi i kompetencave sa i takon ushtrimit të veprimtarive që</w:t>
          </w:r>
          <w:r w:rsidR="009C4C65">
            <w:rPr>
              <w:color w:val="000000" w:themeColor="text1"/>
              <w:szCs w:val="24"/>
              <w:lang w:val="sq-AL"/>
            </w:rPr>
            <w:t xml:space="preserve"> lidhen me: </w:t>
          </w:r>
          <w:r w:rsidR="009C4C65" w:rsidRPr="00807755">
            <w:rPr>
              <w:b/>
              <w:i/>
              <w:color w:val="000000" w:themeColor="text1"/>
              <w:szCs w:val="24"/>
              <w:lang w:val="sq-AL"/>
            </w:rPr>
            <w:t>(a)</w:t>
          </w:r>
          <w:r w:rsidR="009C4C65">
            <w:rPr>
              <w:color w:val="000000" w:themeColor="text1"/>
              <w:szCs w:val="24"/>
              <w:lang w:val="sq-AL"/>
            </w:rPr>
            <w:t xml:space="preserve"> </w:t>
          </w:r>
          <w:r w:rsidR="009C4C65" w:rsidRPr="00041EA0">
            <w:rPr>
              <w:szCs w:val="24"/>
              <w:lang w:val="sq-AL"/>
            </w:rPr>
            <w:t>kryerjen e njoftimit të akteve gjyqësore dhe dokumenteve zyrtare;</w:t>
          </w:r>
          <w:r w:rsidR="009C4C65">
            <w:rPr>
              <w:szCs w:val="24"/>
              <w:lang w:val="sq-AL"/>
            </w:rPr>
            <w:t xml:space="preserve"> </w:t>
          </w:r>
          <w:r w:rsidR="009C4C65" w:rsidRPr="00807755">
            <w:rPr>
              <w:b/>
              <w:i/>
              <w:szCs w:val="24"/>
              <w:lang w:val="sq-AL"/>
            </w:rPr>
            <w:t>(b)</w:t>
          </w:r>
          <w:r w:rsidR="009C4C65">
            <w:rPr>
              <w:szCs w:val="24"/>
              <w:lang w:val="sq-AL"/>
            </w:rPr>
            <w:t xml:space="preserve"> </w:t>
          </w:r>
          <w:r w:rsidR="009C4C65" w:rsidRPr="00041EA0">
            <w:rPr>
              <w:szCs w:val="24"/>
              <w:lang w:val="sq-AL"/>
            </w:rPr>
            <w:t xml:space="preserve">njoftimin dhe kryerjen e mbledhjes së detyrimeve financiare me mirëkuptim, me </w:t>
          </w:r>
          <w:r w:rsidR="009C4C65">
            <w:rPr>
              <w:szCs w:val="24"/>
              <w:lang w:val="sq-AL"/>
            </w:rPr>
            <w:t xml:space="preserve">kërkesë të të </w:t>
          </w:r>
          <w:r w:rsidR="009C4C65" w:rsidRPr="00041EA0">
            <w:rPr>
              <w:szCs w:val="24"/>
              <w:lang w:val="sq-AL"/>
            </w:rPr>
            <w:t>interesuarve;</w:t>
          </w:r>
          <w:r w:rsidR="009C4C65">
            <w:rPr>
              <w:szCs w:val="24"/>
              <w:lang w:val="sq-AL"/>
            </w:rPr>
            <w:t xml:space="preserve"> </w:t>
          </w:r>
          <w:r w:rsidR="009C4C65" w:rsidRPr="00807755">
            <w:rPr>
              <w:b/>
              <w:i/>
              <w:szCs w:val="24"/>
              <w:lang w:val="sq-AL"/>
            </w:rPr>
            <w:t>(c)</w:t>
          </w:r>
          <w:r w:rsidR="009C4C65">
            <w:rPr>
              <w:szCs w:val="24"/>
              <w:lang w:val="sq-AL"/>
            </w:rPr>
            <w:t xml:space="preserve"> </w:t>
          </w:r>
          <w:r w:rsidR="009C4C65" w:rsidRPr="00041EA0">
            <w:rPr>
              <w:szCs w:val="24"/>
              <w:lang w:val="sq-AL"/>
            </w:rPr>
            <w:t>kryerjen e konstatimeve të fakteve, sendeve dhe dukurive lehtësisht të verifikueshme, që nuk kërkojnë njohuri specifike teknike sipas legjislacionit në fuqi, me kërkesë të të interesuarve;</w:t>
          </w:r>
          <w:r w:rsidR="009C4C65">
            <w:rPr>
              <w:szCs w:val="24"/>
              <w:lang w:val="sq-AL"/>
            </w:rPr>
            <w:t xml:space="preserve">  </w:t>
          </w:r>
          <w:r w:rsidR="009C4C65" w:rsidRPr="00807755">
            <w:rPr>
              <w:b/>
              <w:i/>
              <w:szCs w:val="24"/>
              <w:lang w:val="sq-AL"/>
            </w:rPr>
            <w:t>(ç)</w:t>
          </w:r>
          <w:r w:rsidR="009C4C65">
            <w:rPr>
              <w:szCs w:val="24"/>
              <w:lang w:val="sq-AL"/>
            </w:rPr>
            <w:t xml:space="preserve"> </w:t>
          </w:r>
          <w:r w:rsidR="009C4C65" w:rsidRPr="00041EA0">
            <w:rPr>
              <w:szCs w:val="24"/>
              <w:lang w:val="sq-AL"/>
            </w:rPr>
            <w:t>kryerjen e shitjes së sendeve në ankand publik me kërkesë të të interesuarve.</w:t>
          </w:r>
          <w:r w:rsidR="009C4C65">
            <w:rPr>
              <w:szCs w:val="24"/>
              <w:lang w:val="sq-AL"/>
            </w:rPr>
            <w:t xml:space="preserve"> </w:t>
          </w:r>
          <w:r w:rsidR="009C4C65">
            <w:rPr>
              <w:color w:val="000000" w:themeColor="text1"/>
              <w:szCs w:val="24"/>
              <w:lang w:val="sq-AL"/>
            </w:rPr>
            <w:t>Ushtrimi i këtyre veprimtarive sipas tarifave të vendosura me akt nënligjor të Ministrit të Drejtësisë dhe ministrit përgjegjës për financat pasjell ndikim</w:t>
          </w:r>
          <w:r w:rsidR="002C0E53" w:rsidRPr="007E0E31">
            <w:rPr>
              <w:color w:val="000000" w:themeColor="text1"/>
              <w:szCs w:val="24"/>
              <w:lang w:val="sq-AL"/>
            </w:rPr>
            <w:t xml:space="preserve"> pozitive </w:t>
          </w:r>
          <w:r w:rsidR="009C4C65" w:rsidRPr="007E0E31">
            <w:rPr>
              <w:color w:val="000000" w:themeColor="text1"/>
              <w:szCs w:val="24"/>
              <w:lang w:val="sq-AL"/>
            </w:rPr>
            <w:t>në buxhetin e shtetit dhe për rrje</w:t>
          </w:r>
          <w:r w:rsidR="009C4C65">
            <w:rPr>
              <w:color w:val="000000" w:themeColor="text1"/>
              <w:szCs w:val="24"/>
              <w:lang w:val="sq-AL"/>
            </w:rPr>
            <w:t>dhojë edhe në ekonominë e vendit</w:t>
          </w:r>
          <w:r w:rsidR="002C0E53" w:rsidRPr="007E0E31">
            <w:rPr>
              <w:color w:val="000000" w:themeColor="text1"/>
              <w:szCs w:val="24"/>
              <w:lang w:val="sq-AL"/>
            </w:rPr>
            <w:t xml:space="preserve">.  </w:t>
          </w:r>
          <w:r w:rsidR="002C0E53" w:rsidRPr="007E0E31">
            <w:rPr>
              <w:b/>
              <w:color w:val="000000"/>
              <w:szCs w:val="24"/>
              <w:lang w:val="sq-AL"/>
            </w:rPr>
            <w:t xml:space="preserve">Ndikimet sociale: </w:t>
          </w:r>
          <w:r w:rsidR="009C4C65" w:rsidRPr="00807755">
            <w:rPr>
              <w:b/>
              <w:i/>
              <w:color w:val="000000"/>
              <w:szCs w:val="24"/>
              <w:lang w:val="sq-AL"/>
            </w:rPr>
            <w:t>(a)</w:t>
          </w:r>
          <w:r w:rsidR="009C4C65">
            <w:rPr>
              <w:color w:val="000000"/>
              <w:szCs w:val="24"/>
              <w:lang w:val="sq-AL"/>
            </w:rPr>
            <w:t xml:space="preserve"> r</w:t>
          </w:r>
          <w:r w:rsidR="009C4C65" w:rsidRPr="009C4C65">
            <w:rPr>
              <w:color w:val="000000"/>
              <w:szCs w:val="24"/>
              <w:lang w:val="sq-AL"/>
            </w:rPr>
            <w:t>ritje e standardeve në ushtrimin e veprimtarisë përmbarimore gjyqësore shtetërore nga profesionistët e fushës;</w:t>
          </w:r>
          <w:r w:rsidR="009C4C65">
            <w:rPr>
              <w:color w:val="000000"/>
              <w:szCs w:val="24"/>
              <w:lang w:val="sq-AL"/>
            </w:rPr>
            <w:t xml:space="preserve"> </w:t>
          </w:r>
          <w:r w:rsidR="009C4C65" w:rsidRPr="00807755">
            <w:rPr>
              <w:b/>
              <w:i/>
              <w:color w:val="000000"/>
              <w:szCs w:val="24"/>
              <w:lang w:val="sq-AL"/>
            </w:rPr>
            <w:t>(b)</w:t>
          </w:r>
          <w:r w:rsidR="009C4C65">
            <w:rPr>
              <w:color w:val="000000"/>
              <w:szCs w:val="24"/>
              <w:lang w:val="sq-AL"/>
            </w:rPr>
            <w:t xml:space="preserve"> r</w:t>
          </w:r>
          <w:r w:rsidR="009C4C65" w:rsidRPr="009C4C65">
            <w:rPr>
              <w:color w:val="000000"/>
              <w:szCs w:val="24"/>
              <w:lang w:val="sq-AL"/>
            </w:rPr>
            <w:t>ritja e ndërgjegjësimit të shoqërisë për shërbimin përmbarimor gjyqësor të ofruar nga institucionet shtetërore (zyrat përmbarimore vendore);</w:t>
          </w:r>
          <w:r w:rsidR="009C4C65">
            <w:rPr>
              <w:color w:val="000000"/>
              <w:szCs w:val="24"/>
              <w:lang w:val="sq-AL"/>
            </w:rPr>
            <w:t xml:space="preserve"> </w:t>
          </w:r>
          <w:r w:rsidR="009C4C65" w:rsidRPr="00807755">
            <w:rPr>
              <w:b/>
              <w:i/>
              <w:color w:val="000000"/>
              <w:szCs w:val="24"/>
              <w:lang w:val="sq-AL"/>
            </w:rPr>
            <w:t>(c)</w:t>
          </w:r>
          <w:r w:rsidR="009C4C65">
            <w:rPr>
              <w:color w:val="000000"/>
              <w:szCs w:val="24"/>
              <w:lang w:val="sq-AL"/>
            </w:rPr>
            <w:t xml:space="preserve"> r</w:t>
          </w:r>
          <w:r w:rsidR="009C4C65" w:rsidRPr="009C4C65">
            <w:rPr>
              <w:color w:val="000000"/>
              <w:szCs w:val="24"/>
              <w:lang w:val="sq-AL"/>
            </w:rPr>
            <w:t xml:space="preserve">ritja e efektshmërisë në ekzekutimin e titujve ekzekutivë nga shërbimi përmbarimor shtetëror; </w:t>
          </w:r>
          <w:r w:rsidR="009C4C65" w:rsidRPr="00807755">
            <w:rPr>
              <w:b/>
              <w:i/>
              <w:color w:val="000000"/>
              <w:szCs w:val="24"/>
              <w:lang w:val="sq-AL"/>
            </w:rPr>
            <w:t>(ç)</w:t>
          </w:r>
          <w:r w:rsidR="009C4C65">
            <w:rPr>
              <w:color w:val="000000"/>
              <w:szCs w:val="24"/>
              <w:lang w:val="sq-AL"/>
            </w:rPr>
            <w:t xml:space="preserve"> r</w:t>
          </w:r>
          <w:r w:rsidR="009C4C65" w:rsidRPr="009C4C65">
            <w:rPr>
              <w:color w:val="000000"/>
              <w:szCs w:val="24"/>
              <w:lang w:val="sq-AL"/>
            </w:rPr>
            <w:t>ritja e besimit të publikut në rolin e përmbaruesve gjyqësorë shtetërorë dhe aftësitë e tyre për të ekzekutuar titujt ekzekutivë duke kryer të gjitha veprimet e nevojshme ligjore procedurale për këtë qëllim, e cila passjell rritjen e besimit në sistemin e drejtësisë</w:t>
          </w:r>
          <w:r w:rsidR="002C0E53" w:rsidRPr="009C4C65">
            <w:rPr>
              <w:color w:val="000000"/>
              <w:szCs w:val="24"/>
              <w:lang w:val="sq-AL"/>
            </w:rPr>
            <w:t>.</w:t>
          </w:r>
        </w:sdtContent>
      </w:sdt>
      <w:r w:rsidR="00563378" w:rsidRPr="00563378">
        <w:rPr>
          <w:rFonts w:eastAsiaTheme="majorEastAsia"/>
          <w:color w:val="808080" w:themeColor="background1" w:themeShade="80"/>
        </w:rPr>
        <w:t>.</w:t>
      </w:r>
    </w:p>
    <w:p w14:paraId="379BB2C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0F57971F" w14:textId="6FD2F48E" w:rsidR="0097570D"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1FD60097" w14:textId="2731FE80" w:rsidR="002125B7"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5" w:name="_Toc506919739" w:displacedByCustomXml="prev"/>
    <w:p w14:paraId="75D80E0A" w14:textId="4389F559" w:rsidR="00563378" w:rsidRPr="00563378" w:rsidRDefault="00C278E6" w:rsidP="00807755">
      <w:pPr>
        <w:spacing w:before="240" w:line="276" w:lineRule="auto"/>
        <w:jc w:val="both"/>
        <w:rPr>
          <w:color w:val="808080" w:themeColor="background1" w:themeShade="80"/>
          <w:lang w:val="sq-AL"/>
        </w:rPr>
      </w:pPr>
      <w:sdt>
        <w:sdtPr>
          <w:rPr>
            <w:rFonts w:eastAsiaTheme="majorEastAsia"/>
            <w:color w:val="808080" w:themeColor="background1" w:themeShade="80"/>
          </w:rPr>
          <w:id w:val="-113368952"/>
          <w:placeholder>
            <w:docPart w:val="2C6B1E60C1A14643A06F2DDC18E211CF"/>
          </w:placeholder>
        </w:sdtPr>
        <w:sdtEndPr/>
        <w:sdtContent>
          <w:r w:rsidR="00E36669" w:rsidRPr="00E36669">
            <w:rPr>
              <w:color w:val="000000"/>
              <w:szCs w:val="24"/>
              <w:lang w:val="sq-AL" w:eastAsia="en-US"/>
            </w:rPr>
            <w:t>Opsioni i rekomanduar/i preferuar është</w:t>
          </w:r>
          <w:r w:rsidR="00E36669" w:rsidRPr="00644480">
            <w:rPr>
              <w:color w:val="000000"/>
              <w:szCs w:val="24"/>
              <w:lang w:val="sq-AL" w:eastAsia="en-US"/>
            </w:rPr>
            <w:t xml:space="preserve">:  </w:t>
          </w:r>
          <w:r w:rsidR="00E36669" w:rsidRPr="00644480">
            <w:rPr>
              <w:szCs w:val="24"/>
              <w:lang w:val="sq-AL" w:eastAsia="en-US"/>
            </w:rPr>
            <w:t>Opsioni i prefer</w:t>
          </w:r>
          <w:r w:rsidR="00644480">
            <w:rPr>
              <w:szCs w:val="24"/>
              <w:lang w:val="sq-AL" w:eastAsia="en-US"/>
            </w:rPr>
            <w:t xml:space="preserve">uar është përzgjedhur opsioni 2 - </w:t>
          </w:r>
          <w:r w:rsidR="00E36669" w:rsidRPr="00644480">
            <w:rPr>
              <w:szCs w:val="24"/>
              <w:lang w:val="sq-AL" w:eastAsia="en-US"/>
            </w:rPr>
            <w:t>har</w:t>
          </w:r>
          <w:r w:rsidR="00644480" w:rsidRPr="00644480">
            <w:rPr>
              <w:szCs w:val="24"/>
              <w:lang w:val="sq-AL" w:eastAsia="en-US"/>
            </w:rPr>
            <w:t xml:space="preserve">timi dhe miratimi i një ligji të ri për shërbimin përmbarimor gjyqësor shtetëror, sikurse është kryer për shërbimin përmbarimor gjyqësor privat përmes ligjit nr. </w:t>
          </w:r>
          <w:r w:rsidR="00644480" w:rsidRPr="00644480">
            <w:rPr>
              <w:color w:val="000000"/>
              <w:szCs w:val="24"/>
              <w:lang w:val="sq-AL"/>
            </w:rPr>
            <w:t xml:space="preserve">26/2019, “Për shërbimin përmbarimor gjyqësor privat”, duke vendosur </w:t>
          </w:r>
          <w:r w:rsidR="00644480" w:rsidRPr="00644480">
            <w:rPr>
              <w:bCs/>
              <w:szCs w:val="24"/>
              <w:lang w:val="sq-AL" w:eastAsia="sq-AL"/>
            </w:rPr>
            <w:t xml:space="preserve">një shërbim përmbarimor gjyqësor shtetëror garantues të drejtash dhe llogaridhënie që synon ridimensionimin e këtij shërbimi në tërësinë e tij, në terma të rritjes së eficencës së ekzekutimit përmbarimor, përgjegjshmërisë, profesionalizmit, llogaridhënies, besueshmërisë së publikut dhe të orientuar drejt një shërbimi cilësor ndaj qytetarit. </w:t>
          </w:r>
          <w:r w:rsidR="00644480" w:rsidRPr="00644480">
            <w:rPr>
              <w:b/>
              <w:bCs/>
              <w:szCs w:val="24"/>
              <w:lang w:val="sq-AL" w:eastAsia="sq-AL"/>
            </w:rPr>
            <w:t>Zbatimi i këtij opsioni garanton:</w:t>
          </w:r>
          <w:r w:rsidR="00644480" w:rsidRPr="00644480">
            <w:rPr>
              <w:b/>
              <w:bCs/>
              <w:i/>
              <w:szCs w:val="24"/>
              <w:lang w:val="sq-AL" w:eastAsia="sq-AL"/>
            </w:rPr>
            <w:t xml:space="preserve"> (a)</w:t>
          </w:r>
          <w:r w:rsidR="00644480" w:rsidRPr="00644480">
            <w:rPr>
              <w:bCs/>
              <w:szCs w:val="24"/>
              <w:lang w:val="sq-AL" w:eastAsia="sq-AL"/>
            </w:rPr>
            <w:t xml:space="preserve"> rritje të performancës profesionale të përmbaruesit gjyqësor shtetëror; </w:t>
          </w:r>
          <w:r w:rsidR="00644480" w:rsidRPr="00644480">
            <w:rPr>
              <w:b/>
              <w:bCs/>
              <w:i/>
              <w:szCs w:val="24"/>
              <w:lang w:val="sq-AL" w:eastAsia="sq-AL"/>
            </w:rPr>
            <w:t>(b)</w:t>
          </w:r>
          <w:r w:rsidR="00644480" w:rsidRPr="00644480">
            <w:rPr>
              <w:bCs/>
              <w:szCs w:val="24"/>
              <w:lang w:val="sq-AL" w:eastAsia="sq-AL"/>
            </w:rPr>
            <w:t xml:space="preserve"> trajtim financiar në masë të mjaftueshme me natyrën, përgjegjësitë e funksionit dhe shkallën e vështirësisë; </w:t>
          </w:r>
          <w:r w:rsidR="00644480" w:rsidRPr="00644480">
            <w:rPr>
              <w:b/>
              <w:bCs/>
              <w:i/>
              <w:szCs w:val="24"/>
              <w:lang w:val="sq-AL" w:eastAsia="sq-AL"/>
            </w:rPr>
            <w:t>(c)</w:t>
          </w:r>
          <w:r w:rsidR="00644480" w:rsidRPr="00644480">
            <w:rPr>
              <w:bCs/>
              <w:szCs w:val="24"/>
              <w:lang w:val="sq-AL" w:eastAsia="sq-AL"/>
            </w:rPr>
            <w:t xml:space="preserve"> një kuadër të drejtash dhe llogaridhënie që synon një shërbim përmbarimor gjyqësor shtetëror të përgjegjshëm dhe profesional; </w:t>
          </w:r>
          <w:r w:rsidR="00644480" w:rsidRPr="00644480">
            <w:rPr>
              <w:b/>
              <w:bCs/>
              <w:i/>
              <w:szCs w:val="24"/>
              <w:lang w:val="sq-AL" w:eastAsia="sq-AL"/>
            </w:rPr>
            <w:t>(ç)</w:t>
          </w:r>
          <w:r w:rsidR="00644480" w:rsidRPr="00644480">
            <w:rPr>
              <w:szCs w:val="24"/>
              <w:lang w:val="sq-AL" w:eastAsia="sq-AL"/>
            </w:rPr>
            <w:t xml:space="preserve"> rregullime në mënyrë të qartë dhe të plotë të çdo aspekti që lidhet me veprimtarinë e përmbarimit gjyqësor shtetëror në të njëjtën linjë me përmbaruesin gjyqësor privat; </w:t>
          </w:r>
          <w:r w:rsidR="00644480" w:rsidRPr="00644480">
            <w:rPr>
              <w:b/>
              <w:i/>
              <w:szCs w:val="24"/>
              <w:lang w:val="sq-AL" w:eastAsia="sq-AL"/>
            </w:rPr>
            <w:t>(d)</w:t>
          </w:r>
          <w:r w:rsidR="00644480" w:rsidRPr="00644480">
            <w:rPr>
              <w:szCs w:val="24"/>
              <w:lang w:val="sq-AL" w:eastAsia="sq-AL"/>
            </w:rPr>
            <w:t xml:space="preserve"> një sistem të mirëfilltë dhe transparent vlerësimi etik dhe profesional të përmbaruesve gjyqësorë privatë dhe kryetarëve të zyrave përmbarimore, duke përcaktuar kritere të qarta vlerësimi, burimet e vlerësimit, nivelet e </w:t>
          </w:r>
          <w:r w:rsidR="00644480">
            <w:rPr>
              <w:szCs w:val="24"/>
              <w:lang w:val="sq-AL" w:eastAsia="sq-AL"/>
            </w:rPr>
            <w:t xml:space="preserve">vlerësimit, si dhe procedurën e </w:t>
          </w:r>
          <w:r w:rsidR="00644480" w:rsidRPr="00644480">
            <w:rPr>
              <w:szCs w:val="24"/>
              <w:lang w:val="sq-AL" w:eastAsia="sq-AL"/>
            </w:rPr>
            <w:t>vlerësimit që ndiqet pë</w:t>
          </w:r>
          <w:r w:rsidR="00644480">
            <w:rPr>
              <w:szCs w:val="24"/>
              <w:lang w:val="sq-AL" w:eastAsia="sq-AL"/>
            </w:rPr>
            <w:t>rkatësisht në të dy rastet, etj</w:t>
          </w:r>
        </w:sdtContent>
      </w:sdt>
      <w:r w:rsidR="00563378" w:rsidRPr="00CF2ADA">
        <w:rPr>
          <w:rFonts w:eastAsiaTheme="majorEastAsia"/>
          <w:color w:val="808080" w:themeColor="background1" w:themeShade="80"/>
          <w:lang w:val="sq-AL"/>
        </w:rPr>
        <w:t>.</w:t>
      </w:r>
    </w:p>
    <w:p w14:paraId="6FE167F6"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5"/>
    </w:p>
    <w:sdt>
      <w:sdtPr>
        <w:rPr>
          <w:rFonts w:cs="Times New Roman"/>
          <w:i/>
          <w:sz w:val="24"/>
          <w:szCs w:val="24"/>
          <w:lang w:val="sq-AL"/>
        </w:rPr>
        <w:id w:val="686721506"/>
        <w:lock w:val="contentLocked"/>
        <w:placeholder>
          <w:docPart w:val="DefaultPlaceholder_1081868574"/>
        </w:placeholder>
      </w:sdtPr>
      <w:sdtEndPr>
        <w:rPr>
          <w:i w:val="0"/>
        </w:rPr>
      </w:sdtEndPr>
      <w:sdtContent>
        <w:p w14:paraId="60CA5B27"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4E17D0BE"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5010F968" w14:textId="34CE4B0C" w:rsidR="002B55BA" w:rsidRPr="002B55BA" w:rsidRDefault="0097570D" w:rsidP="002B55BA">
          <w:pPr>
            <w:pStyle w:val="Style1-BodyText"/>
            <w:numPr>
              <w:ilvl w:val="0"/>
              <w:numId w:val="25"/>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6" w:name="_Toc465267003" w:displacedByCustomXml="prev"/>
    <w:p w14:paraId="7C956EEB" w14:textId="77777777" w:rsidR="002B55BA" w:rsidRDefault="002B55BA" w:rsidP="002B55BA">
      <w:pPr>
        <w:jc w:val="both"/>
        <w:rPr>
          <w:color w:val="000000"/>
          <w:szCs w:val="24"/>
          <w:lang w:val="sq-AL"/>
        </w:rPr>
      </w:pPr>
    </w:p>
    <w:p w14:paraId="76A9BD89" w14:textId="72428280" w:rsidR="002B55BA" w:rsidRDefault="002B55BA" w:rsidP="00807755">
      <w:pPr>
        <w:spacing w:after="240" w:line="276" w:lineRule="auto"/>
        <w:jc w:val="both"/>
        <w:rPr>
          <w:color w:val="000000"/>
          <w:szCs w:val="24"/>
          <w:lang w:val="sq-AL"/>
        </w:rPr>
      </w:pPr>
      <w:r>
        <w:rPr>
          <w:color w:val="000000"/>
          <w:szCs w:val="24"/>
          <w:lang w:val="sq-AL"/>
        </w:rPr>
        <w:t xml:space="preserve">Pas </w:t>
      </w:r>
      <w:r w:rsidRPr="00367FAB">
        <w:rPr>
          <w:color w:val="000000"/>
          <w:szCs w:val="24"/>
          <w:lang w:val="sq-AL"/>
        </w:rPr>
        <w:t>hyrjes në fuqi të ligjit “Për organizimin dhe funksion</w:t>
      </w:r>
      <w:r>
        <w:rPr>
          <w:color w:val="000000"/>
          <w:szCs w:val="24"/>
          <w:lang w:val="sq-AL"/>
        </w:rPr>
        <w:t xml:space="preserve">imin e shërbimit përmbarimor gjyqësor shtetëror”, </w:t>
      </w:r>
      <w:r w:rsidRPr="00367FAB">
        <w:rPr>
          <w:color w:val="000000"/>
          <w:szCs w:val="24"/>
          <w:lang w:val="sq-AL"/>
        </w:rPr>
        <w:t xml:space="preserve">institucionet shtetërore përgjegjëse për zbatimin dhe monitorimin e projektligjit janë: Ministria e Drejtësisë, </w:t>
      </w:r>
      <w:r>
        <w:t xml:space="preserve"> </w:t>
      </w:r>
      <w:r w:rsidRPr="00367FAB">
        <w:rPr>
          <w:color w:val="000000"/>
          <w:szCs w:val="24"/>
          <w:lang w:val="sq-AL"/>
        </w:rPr>
        <w:t xml:space="preserve">Drejtoria e Përgjithshme e Përmbarimit, përmbaruesit gjyqësorë shtetërorë, si dhe çdo autoritet publik funksionet e të cilëve lidhen apo ndikohen nga veprimtaria e përmbarimit gjyqësor shtetëror. </w:t>
      </w:r>
    </w:p>
    <w:p w14:paraId="68D924FB" w14:textId="2E42AE78" w:rsidR="002B55BA" w:rsidRDefault="002B55BA" w:rsidP="00807755">
      <w:pPr>
        <w:spacing w:after="240" w:line="276" w:lineRule="auto"/>
        <w:jc w:val="both"/>
        <w:rPr>
          <w:color w:val="000000"/>
          <w:szCs w:val="24"/>
          <w:lang w:val="sq-AL"/>
        </w:rPr>
      </w:pPr>
      <w:r>
        <w:rPr>
          <w:color w:val="000000"/>
          <w:szCs w:val="24"/>
          <w:lang w:val="sq-AL"/>
        </w:rPr>
        <w:t xml:space="preserve">Zbatimi i plotë dhe efektiv i projektligjit varet nga nxjerrja dhe miratimi i akteve nënligjore në bazë e për zbatim të këtij ligji. Autoritetet shtetërore që synohen të ngarkohen me miratimin e tyre jane Ministri i Drejtësisë për pjesën më të madhe të akteve, ministri përgjegjës për financat dhe ekonomisë - në </w:t>
      </w:r>
      <w:r>
        <w:rPr>
          <w:color w:val="000000"/>
          <w:szCs w:val="24"/>
          <w:lang w:val="sq-AL"/>
        </w:rPr>
        <w:lastRenderedPageBreak/>
        <w:t xml:space="preserve">bashkëpunim me Ministrin e Drejtësisë - për aktet nënligjore normative që lidhen me tarifat e veprimtarive përmbarimore dhe për përjashtimin e kategorive të caktuara të subjekteve nga parapagimi i këtyre tarifave, si dhe Këshillin e Ministrave për rregullimin e çështjeve më të rëndësishme që kërkojnë vullnet më të gjerë politik për sanksionimin ligjor të tyre. Miratimi i këtyre akteve nënligjore synohet të bëhet brenda një periudhe prej 6 muajsh nga hyrja në fuqi e ligjit, kohë të cilën e çmojmë të mjaftueshme për hartimin e akteve nënligjore normative cilësore dhe shteruese për aq sa ligji autorizon. </w:t>
      </w:r>
    </w:p>
    <w:p w14:paraId="6D6CA6E5" w14:textId="02B08673" w:rsidR="002B55BA" w:rsidRDefault="002B55BA" w:rsidP="00807755">
      <w:pPr>
        <w:spacing w:after="240" w:line="276" w:lineRule="auto"/>
        <w:jc w:val="both"/>
        <w:rPr>
          <w:color w:val="000000"/>
          <w:szCs w:val="24"/>
          <w:lang w:val="sq-AL"/>
        </w:rPr>
      </w:pPr>
      <w:r w:rsidRPr="00367FAB">
        <w:rPr>
          <w:color w:val="000000"/>
          <w:szCs w:val="24"/>
          <w:lang w:val="sq-AL"/>
        </w:rPr>
        <w:t xml:space="preserve">Monitorimi në nivel </w:t>
      </w:r>
      <w:r w:rsidRPr="00324383">
        <w:rPr>
          <w:i/>
          <w:color w:val="000000"/>
          <w:szCs w:val="24"/>
          <w:lang w:val="sq-AL"/>
        </w:rPr>
        <w:t>makro</w:t>
      </w:r>
      <w:r w:rsidRPr="00367FAB">
        <w:rPr>
          <w:color w:val="000000"/>
          <w:szCs w:val="24"/>
          <w:lang w:val="sq-AL"/>
        </w:rPr>
        <w:t xml:space="preserve"> do të realizohet nga struktura përkatëse përgjeg</w:t>
      </w:r>
      <w:r>
        <w:rPr>
          <w:color w:val="000000"/>
          <w:szCs w:val="24"/>
          <w:lang w:val="sq-AL"/>
        </w:rPr>
        <w:t>jëse në Ministrinë e Drejtësisë për monitorimin e institucioneve të varësisë,</w:t>
      </w:r>
      <w:r w:rsidRPr="00367FAB">
        <w:rPr>
          <w:color w:val="000000"/>
          <w:szCs w:val="24"/>
          <w:lang w:val="sq-AL"/>
        </w:rPr>
        <w:t xml:space="preserve"> e cila </w:t>
      </w:r>
      <w:r>
        <w:rPr>
          <w:color w:val="000000"/>
          <w:szCs w:val="24"/>
          <w:lang w:val="sq-AL"/>
        </w:rPr>
        <w:t>është</w:t>
      </w:r>
      <w:r w:rsidRPr="00367FAB">
        <w:rPr>
          <w:color w:val="000000"/>
          <w:szCs w:val="24"/>
          <w:lang w:val="sq-AL"/>
        </w:rPr>
        <w:t xml:space="preserve"> Drejtoria e Përgjithshme Rregullatore e Çështjeve të Drejtësisë. Pranë kësaj Drejtorie vepron Sektori i </w:t>
      </w:r>
      <w:r>
        <w:rPr>
          <w:color w:val="000000"/>
          <w:szCs w:val="24"/>
          <w:lang w:val="sq-AL"/>
        </w:rPr>
        <w:t>Monitorimit të Institucioneve të Varësisë</w:t>
      </w:r>
      <w:r w:rsidRPr="00367FAB">
        <w:rPr>
          <w:color w:val="000000"/>
          <w:szCs w:val="24"/>
          <w:lang w:val="sq-AL"/>
        </w:rPr>
        <w:t xml:space="preserve">, i cili </w:t>
      </w:r>
      <w:r>
        <w:rPr>
          <w:color w:val="000000"/>
          <w:szCs w:val="24"/>
          <w:lang w:val="sq-AL"/>
        </w:rPr>
        <w:t xml:space="preserve">ka dhe do të vijojë </w:t>
      </w:r>
      <w:r w:rsidRPr="00367FAB">
        <w:rPr>
          <w:color w:val="000000"/>
          <w:szCs w:val="24"/>
          <w:lang w:val="sq-AL"/>
        </w:rPr>
        <w:t xml:space="preserve">të ketë përgjegjësinë </w:t>
      </w:r>
      <w:r>
        <w:rPr>
          <w:color w:val="000000"/>
          <w:szCs w:val="24"/>
          <w:lang w:val="sq-AL"/>
        </w:rPr>
        <w:t xml:space="preserve">për të kontrolluar dhe monitoruar </w:t>
      </w:r>
      <w:r w:rsidRPr="00367FAB">
        <w:rPr>
          <w:color w:val="000000"/>
          <w:szCs w:val="24"/>
          <w:lang w:val="sq-AL"/>
        </w:rPr>
        <w:t>veprimtarinë e</w:t>
      </w:r>
      <w:r>
        <w:rPr>
          <w:color w:val="000000"/>
          <w:szCs w:val="24"/>
          <w:lang w:val="sq-AL"/>
        </w:rPr>
        <w:t xml:space="preserve"> Drejtorisë së Përgjithshme të Përmbarimit dhe zyrave përmbarimore vendore</w:t>
      </w:r>
      <w:r w:rsidRPr="00367FAB">
        <w:rPr>
          <w:color w:val="000000"/>
          <w:szCs w:val="24"/>
          <w:lang w:val="sq-AL"/>
        </w:rPr>
        <w:t xml:space="preserve">. </w:t>
      </w:r>
    </w:p>
    <w:p w14:paraId="0616B3DB" w14:textId="45AF71B3" w:rsidR="002125B7" w:rsidRPr="00325A1F" w:rsidRDefault="002125B7" w:rsidP="002B55BA">
      <w:pPr>
        <w:jc w:val="both"/>
        <w:rPr>
          <w:b/>
          <w:szCs w:val="24"/>
          <w:lang w:val="sq-AL"/>
        </w:rPr>
      </w:pPr>
      <w:r w:rsidRPr="00325A1F">
        <w:rPr>
          <w:b/>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2A98D13E" w14:textId="77777777" w:rsidR="009E64A4"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2FFE9BEC" w14:textId="48E747C8" w:rsidR="002125B7"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6"/>
    <w:p w14:paraId="26A79D81" w14:textId="4EBC8249" w:rsidR="002125B7" w:rsidRPr="00B82AE6" w:rsidRDefault="00C278E6" w:rsidP="00807755">
      <w:pPr>
        <w:spacing w:before="240" w:line="276" w:lineRule="auto"/>
        <w:jc w:val="both"/>
        <w:rPr>
          <w:b/>
          <w:szCs w:val="24"/>
          <w:lang w:val="sq-AL"/>
        </w:rPr>
      </w:pPr>
      <w:sdt>
        <w:sdtPr>
          <w:rPr>
            <w:rFonts w:eastAsiaTheme="majorEastAsia"/>
          </w:rPr>
          <w:id w:val="-521482689"/>
          <w:placeholder>
            <w:docPart w:val="346DADE0E4B948EEB018BC06B86F97D7"/>
          </w:placeholder>
        </w:sdtPr>
        <w:sdtEndPr>
          <w:rPr>
            <w:lang w:val="sq-AL"/>
          </w:rPr>
        </w:sdtEndPr>
        <w:sdtContent>
          <w:r w:rsidR="005A1B6D" w:rsidRPr="00B82AE6">
            <w:rPr>
              <w:rFonts w:eastAsiaTheme="majorEastAsia"/>
              <w:lang w:val="sq-AL"/>
            </w:rPr>
            <w:t xml:space="preserve">Monitorimi i zbatimit të këtij projektligji do të bëhet nga struktura përkatëse në Ministrinë e Drejtësisë, përkatësisht nga Drejtoria e Përgjithshme Rregullatore e Çështjeve të Drejtësisë, </w:t>
          </w:r>
          <w:r w:rsidR="009F234D">
            <w:rPr>
              <w:rFonts w:eastAsiaTheme="majorEastAsia"/>
              <w:lang w:val="sq-AL"/>
            </w:rPr>
            <w:t>si dhe nga Drejtoria e Përgjithshme e Përmbarimit për zyrat përmbarimore vendore të cilat varen administrativisht nga Drejtoria</w:t>
          </w:r>
          <w:r w:rsidR="005A1B6D" w:rsidRPr="00B82AE6">
            <w:rPr>
              <w:rFonts w:eastAsiaTheme="majorEastAsia"/>
              <w:lang w:val="sq-AL"/>
            </w:rPr>
            <w:t xml:space="preserve">. </w:t>
          </w:r>
          <w:r w:rsidR="00C05574">
            <w:rPr>
              <w:rFonts w:eastAsiaTheme="majorEastAsia"/>
              <w:lang w:val="sq-AL"/>
            </w:rPr>
            <w:t>Si k</w:t>
          </w:r>
          <w:r w:rsidR="005A1B6D" w:rsidRPr="00B82AE6">
            <w:rPr>
              <w:rFonts w:eastAsiaTheme="majorEastAsia"/>
              <w:lang w:val="sq-AL"/>
            </w:rPr>
            <w:t xml:space="preserve">riter </w:t>
          </w:r>
          <w:r w:rsidR="00C05574">
            <w:rPr>
              <w:rFonts w:eastAsiaTheme="majorEastAsia"/>
              <w:lang w:val="sq-AL"/>
            </w:rPr>
            <w:t xml:space="preserve">matje do të shërbejnë: </w:t>
          </w:r>
          <w:r w:rsidR="00C05574" w:rsidRPr="00807755">
            <w:rPr>
              <w:rFonts w:eastAsiaTheme="majorEastAsia"/>
              <w:b/>
              <w:i/>
              <w:lang w:val="sq-AL"/>
            </w:rPr>
            <w:t>(a)</w:t>
          </w:r>
          <w:r w:rsidR="00C05574">
            <w:rPr>
              <w:rFonts w:eastAsiaTheme="majorEastAsia"/>
              <w:lang w:val="sq-AL"/>
            </w:rPr>
            <w:t xml:space="preserve"> </w:t>
          </w:r>
          <w:r w:rsidR="009F234D">
            <w:rPr>
              <w:rFonts w:eastAsiaTheme="majorEastAsia"/>
              <w:lang w:val="sq-AL"/>
            </w:rPr>
            <w:t xml:space="preserve">raportet </w:t>
          </w:r>
          <w:r w:rsidR="005A1B6D" w:rsidRPr="00B82AE6">
            <w:rPr>
              <w:rFonts w:eastAsiaTheme="majorEastAsia"/>
              <w:lang w:val="sq-AL"/>
            </w:rPr>
            <w:t>e</w:t>
          </w:r>
          <w:r w:rsidR="00B82AE6" w:rsidRPr="00B82AE6">
            <w:rPr>
              <w:rFonts w:eastAsiaTheme="majorEastAsia"/>
              <w:lang w:val="sq-AL"/>
            </w:rPr>
            <w:t xml:space="preserve"> </w:t>
          </w:r>
          <w:r w:rsidR="005A1B6D" w:rsidRPr="00B82AE6">
            <w:rPr>
              <w:rFonts w:eastAsiaTheme="majorEastAsia"/>
              <w:lang w:val="sq-AL"/>
            </w:rPr>
            <w:t>inspektimit</w:t>
          </w:r>
          <w:r w:rsidR="009F234D">
            <w:rPr>
              <w:rFonts w:eastAsiaTheme="majorEastAsia"/>
              <w:lang w:val="sq-AL"/>
            </w:rPr>
            <w:t>; numri i inspektimeve;</w:t>
          </w:r>
          <w:r w:rsidR="00C05574">
            <w:rPr>
              <w:rFonts w:eastAsiaTheme="majorEastAsia"/>
              <w:lang w:val="sq-AL"/>
            </w:rPr>
            <w:t xml:space="preserve"> </w:t>
          </w:r>
          <w:r w:rsidR="00C05574" w:rsidRPr="00807755">
            <w:rPr>
              <w:rFonts w:eastAsiaTheme="majorEastAsia"/>
              <w:b/>
              <w:i/>
              <w:lang w:val="sq-AL"/>
            </w:rPr>
            <w:t>(b)</w:t>
          </w:r>
          <w:r w:rsidR="009F234D" w:rsidRPr="00807755">
            <w:rPr>
              <w:rFonts w:eastAsiaTheme="majorEastAsia"/>
              <w:b/>
              <w:i/>
              <w:lang w:val="sq-AL"/>
            </w:rPr>
            <w:t xml:space="preserve"> </w:t>
          </w:r>
          <w:r w:rsidR="009F234D">
            <w:rPr>
              <w:rFonts w:eastAsiaTheme="majorEastAsia"/>
              <w:lang w:val="sq-AL"/>
            </w:rPr>
            <w:t xml:space="preserve">numri i dosjeve gjyqësore të ekzekutuara brenda afatit; </w:t>
          </w:r>
          <w:r w:rsidR="00C05574" w:rsidRPr="00807755">
            <w:rPr>
              <w:rFonts w:eastAsiaTheme="majorEastAsia"/>
              <w:b/>
              <w:i/>
              <w:lang w:val="sq-AL"/>
            </w:rPr>
            <w:t>(c)</w:t>
          </w:r>
          <w:r w:rsidR="00C05574">
            <w:rPr>
              <w:rFonts w:eastAsiaTheme="majorEastAsia"/>
              <w:lang w:val="sq-AL"/>
            </w:rPr>
            <w:t xml:space="preserve"> </w:t>
          </w:r>
          <w:r w:rsidR="009F234D">
            <w:rPr>
              <w:rFonts w:eastAsiaTheme="majorEastAsia"/>
              <w:lang w:val="sq-AL"/>
            </w:rPr>
            <w:t xml:space="preserve">vendimet për vlerësimin etik dhe profesional të përmbaruesve sipas kritereve dhe burimeve të vlerësimit të përcaktuara në ligj; </w:t>
          </w:r>
          <w:r w:rsidR="00C05574" w:rsidRPr="00807755">
            <w:rPr>
              <w:rFonts w:eastAsiaTheme="majorEastAsia"/>
              <w:b/>
              <w:i/>
              <w:lang w:val="sq-AL"/>
            </w:rPr>
            <w:t>(ç)</w:t>
          </w:r>
          <w:r w:rsidR="00C05574">
            <w:rPr>
              <w:rFonts w:eastAsiaTheme="majorEastAsia"/>
              <w:lang w:val="sq-AL"/>
            </w:rPr>
            <w:t xml:space="preserve"> </w:t>
          </w:r>
          <w:r w:rsidR="005A1B6D" w:rsidRPr="00B82AE6">
            <w:rPr>
              <w:rFonts w:eastAsiaTheme="majorEastAsia"/>
              <w:lang w:val="sq-AL"/>
            </w:rPr>
            <w:t xml:space="preserve">numri i shkeljeve </w:t>
          </w:r>
          <w:r w:rsidR="009F234D">
            <w:rPr>
              <w:rFonts w:eastAsiaTheme="majorEastAsia"/>
              <w:lang w:val="sq-AL"/>
            </w:rPr>
            <w:t xml:space="preserve">disiplinore të kryera nga përmbaruesit gjyqësorë shtetërorë; </w:t>
          </w:r>
          <w:r w:rsidR="00C05574" w:rsidRPr="00807755">
            <w:rPr>
              <w:rFonts w:eastAsiaTheme="majorEastAsia"/>
              <w:b/>
              <w:i/>
              <w:lang w:val="sq-AL"/>
            </w:rPr>
            <w:t>(d)</w:t>
          </w:r>
          <w:r w:rsidR="00C05574">
            <w:rPr>
              <w:rFonts w:eastAsiaTheme="majorEastAsia"/>
              <w:lang w:val="sq-AL"/>
            </w:rPr>
            <w:t xml:space="preserve"> </w:t>
          </w:r>
          <w:r w:rsidR="00E56E42" w:rsidRPr="00B82AE6">
            <w:rPr>
              <w:rFonts w:eastAsiaTheme="majorEastAsia"/>
              <w:lang w:val="sq-AL"/>
            </w:rPr>
            <w:t>n</w:t>
          </w:r>
          <w:r w:rsidR="00E56E42">
            <w:rPr>
              <w:rFonts w:eastAsiaTheme="majorEastAsia"/>
              <w:lang w:val="sq-AL"/>
            </w:rPr>
            <w:t>umri i hetimeve dhe procedimeve disiplinore</w:t>
          </w:r>
          <w:r w:rsidR="00E56E42" w:rsidRPr="00807755">
            <w:rPr>
              <w:rFonts w:eastAsiaTheme="majorEastAsia"/>
              <w:i/>
              <w:lang w:val="sq-AL"/>
            </w:rPr>
            <w:t>;</w:t>
          </w:r>
          <w:r w:rsidR="00E56E42" w:rsidRPr="00807755">
            <w:rPr>
              <w:rFonts w:eastAsiaTheme="majorEastAsia"/>
              <w:b/>
              <w:i/>
              <w:lang w:val="sq-AL"/>
            </w:rPr>
            <w:t xml:space="preserve"> </w:t>
          </w:r>
          <w:r w:rsidR="00C05574" w:rsidRPr="00807755">
            <w:rPr>
              <w:rFonts w:eastAsiaTheme="majorEastAsia"/>
              <w:b/>
              <w:i/>
              <w:lang w:val="sq-AL"/>
            </w:rPr>
            <w:t>(dh)</w:t>
          </w:r>
          <w:r w:rsidR="00C05574">
            <w:rPr>
              <w:rFonts w:eastAsiaTheme="majorEastAsia"/>
              <w:lang w:val="sq-AL"/>
            </w:rPr>
            <w:t xml:space="preserve"> </w:t>
          </w:r>
          <w:r w:rsidR="009F234D">
            <w:rPr>
              <w:rFonts w:eastAsiaTheme="majorEastAsia"/>
              <w:lang w:val="sq-AL"/>
            </w:rPr>
            <w:t>numri dhe llojet e masave disiplinore që do të jepen me vendim përfundimtar ndaj përmbaruesve gjyqësorë</w:t>
          </w:r>
          <w:r w:rsidR="00E56E42">
            <w:rPr>
              <w:rFonts w:eastAsiaTheme="majorEastAsia"/>
              <w:lang w:val="sq-AL"/>
            </w:rPr>
            <w:t xml:space="preserve"> etj.</w:t>
          </w:r>
        </w:sdtContent>
      </w:sdt>
    </w:p>
    <w:p w14:paraId="009A219A" w14:textId="77777777" w:rsidR="00225F7F" w:rsidRDefault="00225F7F" w:rsidP="009D13F4">
      <w:pPr>
        <w:spacing w:line="276" w:lineRule="auto"/>
        <w:jc w:val="both"/>
        <w:rPr>
          <w:b/>
          <w:szCs w:val="24"/>
          <w:lang w:val="sq-AL"/>
        </w:rPr>
        <w:sectPr w:rsidR="00225F7F" w:rsidSect="00F219AD">
          <w:headerReference w:type="even" r:id="rId10"/>
          <w:footerReference w:type="default" r:id="rId11"/>
          <w:footnotePr>
            <w:numRestart w:val="eachSect"/>
          </w:footnotePr>
          <w:type w:val="continuous"/>
          <w:pgSz w:w="11907" w:h="16840" w:code="9"/>
          <w:pgMar w:top="680" w:right="851" w:bottom="680" w:left="851" w:header="284" w:footer="284" w:gutter="0"/>
          <w:cols w:space="708"/>
          <w:docGrid w:linePitch="360"/>
        </w:sectPr>
      </w:pPr>
    </w:p>
    <w:p w14:paraId="075225E0" w14:textId="77777777"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p>
    <w:p w14:paraId="7583A4D7" w14:textId="77777777" w:rsidR="002125B7" w:rsidRPr="00325A1F" w:rsidRDefault="002125B7" w:rsidP="009D13F4">
      <w:pPr>
        <w:spacing w:line="276" w:lineRule="auto"/>
        <w:rPr>
          <w:rStyle w:val="Strong"/>
          <w:b w:val="0"/>
          <w:szCs w:val="24"/>
          <w:lang w:val="sq-AL"/>
        </w:rPr>
      </w:pPr>
    </w:p>
    <w:p w14:paraId="2B547A66" w14:textId="7627162A" w:rsidR="00225F7F" w:rsidRPr="009F625C" w:rsidRDefault="002125B7" w:rsidP="009F625C">
      <w:pPr>
        <w:spacing w:line="276" w:lineRule="auto"/>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0AAA9D52" w14:textId="77777777" w:rsidR="00E139C5" w:rsidRDefault="009F625C" w:rsidP="009D13F4">
      <w:pPr>
        <w:spacing w:line="276" w:lineRule="auto"/>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145"/>
        <w:gridCol w:w="1350"/>
        <w:gridCol w:w="1170"/>
        <w:gridCol w:w="1080"/>
        <w:gridCol w:w="1170"/>
        <w:gridCol w:w="1080"/>
        <w:gridCol w:w="1260"/>
        <w:gridCol w:w="1080"/>
        <w:gridCol w:w="1260"/>
        <w:gridCol w:w="1260"/>
        <w:gridCol w:w="1260"/>
      </w:tblGrid>
      <w:tr w:rsidR="00E139C5" w:rsidRPr="00E139C5" w14:paraId="4DE84FC9" w14:textId="77777777" w:rsidTr="00E139C5">
        <w:trPr>
          <w:divId w:val="1261141582"/>
          <w:trHeight w:val="255"/>
        </w:trPr>
        <w:tc>
          <w:tcPr>
            <w:tcW w:w="3145" w:type="dxa"/>
            <w:shd w:val="clear" w:color="auto" w:fill="F2F2F2" w:themeFill="background1" w:themeFillShade="F2"/>
            <w:hideMark/>
          </w:tcPr>
          <w:p w14:paraId="2D91DE60" w14:textId="77777777" w:rsidR="00E139C5" w:rsidRPr="00E139C5" w:rsidRDefault="00E139C5" w:rsidP="00E139C5">
            <w:pPr>
              <w:spacing w:line="276" w:lineRule="auto"/>
              <w:rPr>
                <w:szCs w:val="24"/>
              </w:rPr>
            </w:pPr>
            <w:r w:rsidRPr="00E139C5">
              <w:rPr>
                <w:szCs w:val="24"/>
              </w:rPr>
              <w:t> </w:t>
            </w:r>
          </w:p>
        </w:tc>
        <w:tc>
          <w:tcPr>
            <w:tcW w:w="1350" w:type="dxa"/>
            <w:shd w:val="clear" w:color="auto" w:fill="F2F2F2" w:themeFill="background1" w:themeFillShade="F2"/>
            <w:hideMark/>
          </w:tcPr>
          <w:p w14:paraId="500CC8A3" w14:textId="77777777" w:rsidR="00E139C5" w:rsidRPr="00E139C5" w:rsidRDefault="00E139C5" w:rsidP="00E139C5">
            <w:pPr>
              <w:spacing w:line="276" w:lineRule="auto"/>
              <w:ind w:left="-108" w:firstLine="108"/>
              <w:rPr>
                <w:b/>
                <w:bCs/>
                <w:szCs w:val="24"/>
              </w:rPr>
            </w:pPr>
            <w:r w:rsidRPr="00E139C5">
              <w:rPr>
                <w:b/>
                <w:bCs/>
                <w:szCs w:val="24"/>
              </w:rPr>
              <w:t xml:space="preserve"> Viti  1 </w:t>
            </w:r>
          </w:p>
        </w:tc>
        <w:tc>
          <w:tcPr>
            <w:tcW w:w="1170" w:type="dxa"/>
            <w:shd w:val="clear" w:color="auto" w:fill="F2F2F2" w:themeFill="background1" w:themeFillShade="F2"/>
            <w:hideMark/>
          </w:tcPr>
          <w:p w14:paraId="157A0529" w14:textId="77777777"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080" w:type="dxa"/>
            <w:shd w:val="clear" w:color="auto" w:fill="F2F2F2" w:themeFill="background1" w:themeFillShade="F2"/>
            <w:hideMark/>
          </w:tcPr>
          <w:p w14:paraId="0524B79C" w14:textId="77777777" w:rsidR="00E139C5" w:rsidRPr="00E139C5" w:rsidRDefault="00E139C5" w:rsidP="00E139C5">
            <w:pPr>
              <w:spacing w:line="276" w:lineRule="auto"/>
              <w:rPr>
                <w:b/>
                <w:bCs/>
                <w:szCs w:val="24"/>
              </w:rPr>
            </w:pPr>
            <w:r w:rsidRPr="00E139C5">
              <w:rPr>
                <w:b/>
                <w:bCs/>
                <w:szCs w:val="24"/>
              </w:rPr>
              <w:t xml:space="preserve"> Viti 3 </w:t>
            </w:r>
          </w:p>
        </w:tc>
        <w:tc>
          <w:tcPr>
            <w:tcW w:w="1170" w:type="dxa"/>
            <w:shd w:val="clear" w:color="auto" w:fill="F2F2F2" w:themeFill="background1" w:themeFillShade="F2"/>
            <w:hideMark/>
          </w:tcPr>
          <w:p w14:paraId="6CA49A9C" w14:textId="77777777" w:rsidR="00E139C5" w:rsidRPr="00E139C5" w:rsidRDefault="00E139C5" w:rsidP="00E139C5">
            <w:pPr>
              <w:spacing w:line="276" w:lineRule="auto"/>
              <w:rPr>
                <w:b/>
                <w:bCs/>
                <w:szCs w:val="24"/>
              </w:rPr>
            </w:pPr>
            <w:r w:rsidRPr="00E139C5">
              <w:rPr>
                <w:b/>
                <w:bCs/>
                <w:szCs w:val="24"/>
              </w:rPr>
              <w:t xml:space="preserve"> Viti 4 </w:t>
            </w:r>
          </w:p>
        </w:tc>
        <w:tc>
          <w:tcPr>
            <w:tcW w:w="1080" w:type="dxa"/>
            <w:shd w:val="clear" w:color="auto" w:fill="F2F2F2" w:themeFill="background1" w:themeFillShade="F2"/>
            <w:hideMark/>
          </w:tcPr>
          <w:p w14:paraId="01CC42B2" w14:textId="77777777" w:rsidR="00E139C5" w:rsidRPr="00E139C5" w:rsidRDefault="00E139C5" w:rsidP="00E139C5">
            <w:pPr>
              <w:spacing w:line="276" w:lineRule="auto"/>
              <w:rPr>
                <w:b/>
                <w:bCs/>
                <w:szCs w:val="24"/>
              </w:rPr>
            </w:pPr>
            <w:r w:rsidRPr="00E139C5">
              <w:rPr>
                <w:b/>
                <w:bCs/>
                <w:szCs w:val="24"/>
              </w:rPr>
              <w:t xml:space="preserve"> Viti 5 </w:t>
            </w:r>
          </w:p>
        </w:tc>
        <w:tc>
          <w:tcPr>
            <w:tcW w:w="1260" w:type="dxa"/>
            <w:shd w:val="clear" w:color="auto" w:fill="F2F2F2" w:themeFill="background1" w:themeFillShade="F2"/>
            <w:hideMark/>
          </w:tcPr>
          <w:p w14:paraId="1427490F" w14:textId="77777777" w:rsidR="00E139C5" w:rsidRPr="00E139C5" w:rsidRDefault="00E139C5" w:rsidP="00E139C5">
            <w:pPr>
              <w:spacing w:line="276" w:lineRule="auto"/>
              <w:rPr>
                <w:b/>
                <w:bCs/>
                <w:szCs w:val="24"/>
              </w:rPr>
            </w:pPr>
            <w:r w:rsidRPr="00E139C5">
              <w:rPr>
                <w:b/>
                <w:bCs/>
                <w:szCs w:val="24"/>
              </w:rPr>
              <w:t xml:space="preserve"> Viti 6 </w:t>
            </w:r>
          </w:p>
        </w:tc>
        <w:tc>
          <w:tcPr>
            <w:tcW w:w="1080" w:type="dxa"/>
            <w:shd w:val="clear" w:color="auto" w:fill="F2F2F2" w:themeFill="background1" w:themeFillShade="F2"/>
            <w:hideMark/>
          </w:tcPr>
          <w:p w14:paraId="422A863D" w14:textId="77777777" w:rsidR="00E139C5" w:rsidRPr="00E139C5" w:rsidRDefault="00E139C5" w:rsidP="00E139C5">
            <w:pPr>
              <w:spacing w:line="276" w:lineRule="auto"/>
              <w:rPr>
                <w:b/>
                <w:bCs/>
                <w:szCs w:val="24"/>
              </w:rPr>
            </w:pPr>
            <w:r w:rsidRPr="00E139C5">
              <w:rPr>
                <w:b/>
                <w:bCs/>
                <w:szCs w:val="24"/>
              </w:rPr>
              <w:t xml:space="preserve"> Viti 7 </w:t>
            </w:r>
          </w:p>
        </w:tc>
        <w:tc>
          <w:tcPr>
            <w:tcW w:w="1260" w:type="dxa"/>
            <w:shd w:val="clear" w:color="auto" w:fill="F2F2F2" w:themeFill="background1" w:themeFillShade="F2"/>
            <w:hideMark/>
          </w:tcPr>
          <w:p w14:paraId="746CAF12" w14:textId="77777777" w:rsidR="00E139C5" w:rsidRPr="00E139C5" w:rsidRDefault="00E139C5" w:rsidP="00E139C5">
            <w:pPr>
              <w:spacing w:line="276" w:lineRule="auto"/>
              <w:rPr>
                <w:b/>
                <w:bCs/>
                <w:szCs w:val="24"/>
              </w:rPr>
            </w:pPr>
            <w:r w:rsidRPr="00E139C5">
              <w:rPr>
                <w:b/>
                <w:bCs/>
                <w:szCs w:val="24"/>
              </w:rPr>
              <w:t xml:space="preserve"> Viti 8 </w:t>
            </w:r>
          </w:p>
        </w:tc>
        <w:tc>
          <w:tcPr>
            <w:tcW w:w="1260" w:type="dxa"/>
            <w:shd w:val="clear" w:color="auto" w:fill="F2F2F2" w:themeFill="background1" w:themeFillShade="F2"/>
            <w:hideMark/>
          </w:tcPr>
          <w:p w14:paraId="08852860" w14:textId="77777777" w:rsidR="00E139C5" w:rsidRPr="00E139C5" w:rsidRDefault="00E139C5" w:rsidP="00E139C5">
            <w:pPr>
              <w:spacing w:line="276" w:lineRule="auto"/>
              <w:rPr>
                <w:b/>
                <w:bCs/>
                <w:szCs w:val="24"/>
              </w:rPr>
            </w:pPr>
            <w:r w:rsidRPr="00E139C5">
              <w:rPr>
                <w:b/>
                <w:bCs/>
                <w:szCs w:val="24"/>
              </w:rPr>
              <w:t xml:space="preserve"> Viti 9 </w:t>
            </w:r>
          </w:p>
        </w:tc>
        <w:tc>
          <w:tcPr>
            <w:tcW w:w="1260" w:type="dxa"/>
            <w:shd w:val="clear" w:color="auto" w:fill="F2F2F2" w:themeFill="background1" w:themeFillShade="F2"/>
            <w:hideMark/>
          </w:tcPr>
          <w:p w14:paraId="776A8E76" w14:textId="77777777" w:rsidR="00E139C5" w:rsidRPr="00E139C5" w:rsidRDefault="00E139C5" w:rsidP="00E139C5">
            <w:pPr>
              <w:spacing w:line="276" w:lineRule="auto"/>
              <w:rPr>
                <w:b/>
                <w:bCs/>
                <w:szCs w:val="24"/>
              </w:rPr>
            </w:pPr>
            <w:r w:rsidRPr="00E139C5">
              <w:rPr>
                <w:b/>
                <w:bCs/>
                <w:szCs w:val="24"/>
              </w:rPr>
              <w:t xml:space="preserve"> Viti 10 </w:t>
            </w:r>
          </w:p>
        </w:tc>
      </w:tr>
      <w:tr w:rsidR="00E139C5" w:rsidRPr="00E139C5" w14:paraId="1FDEB49D" w14:textId="77777777" w:rsidTr="00E139C5">
        <w:trPr>
          <w:divId w:val="1261141582"/>
          <w:trHeight w:val="255"/>
        </w:trPr>
        <w:tc>
          <w:tcPr>
            <w:tcW w:w="3145" w:type="dxa"/>
            <w:shd w:val="clear" w:color="auto" w:fill="F2F2F2" w:themeFill="background1" w:themeFillShade="F2"/>
            <w:hideMark/>
          </w:tcPr>
          <w:p w14:paraId="6449A2DE" w14:textId="77777777" w:rsidR="00E139C5" w:rsidRPr="00E139C5" w:rsidRDefault="00E139C5" w:rsidP="00E139C5">
            <w:pPr>
              <w:spacing w:line="276" w:lineRule="auto"/>
              <w:rPr>
                <w:b/>
                <w:bCs/>
                <w:szCs w:val="24"/>
              </w:rPr>
            </w:pPr>
            <w:r w:rsidRPr="00E139C5">
              <w:rPr>
                <w:b/>
                <w:bCs/>
                <w:szCs w:val="24"/>
              </w:rPr>
              <w:t xml:space="preserve">Faktori zbritës </w:t>
            </w:r>
          </w:p>
        </w:tc>
        <w:tc>
          <w:tcPr>
            <w:tcW w:w="1350" w:type="dxa"/>
            <w:shd w:val="clear" w:color="auto" w:fill="F2F2F2" w:themeFill="background1" w:themeFillShade="F2"/>
            <w:hideMark/>
          </w:tcPr>
          <w:p w14:paraId="77F9F81C" w14:textId="52EA7E2B"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170" w:type="dxa"/>
            <w:shd w:val="clear" w:color="auto" w:fill="F2F2F2" w:themeFill="background1" w:themeFillShade="F2"/>
            <w:hideMark/>
          </w:tcPr>
          <w:p w14:paraId="4BB045BA" w14:textId="23EBDB39"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080" w:type="dxa"/>
            <w:shd w:val="clear" w:color="auto" w:fill="F2F2F2" w:themeFill="background1" w:themeFillShade="F2"/>
            <w:hideMark/>
          </w:tcPr>
          <w:p w14:paraId="446FDEA4" w14:textId="5D82A2CE"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170" w:type="dxa"/>
            <w:shd w:val="clear" w:color="auto" w:fill="F2F2F2" w:themeFill="background1" w:themeFillShade="F2"/>
            <w:hideMark/>
          </w:tcPr>
          <w:p w14:paraId="12BD0CE7" w14:textId="50FE45E7"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080" w:type="dxa"/>
            <w:shd w:val="clear" w:color="auto" w:fill="F2F2F2" w:themeFill="background1" w:themeFillShade="F2"/>
            <w:hideMark/>
          </w:tcPr>
          <w:p w14:paraId="79A4ACCB" w14:textId="2B2A0125"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60" w:type="dxa"/>
            <w:shd w:val="clear" w:color="auto" w:fill="F2F2F2" w:themeFill="background1" w:themeFillShade="F2"/>
            <w:hideMark/>
          </w:tcPr>
          <w:p w14:paraId="3D85CE66" w14:textId="2F86045A"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080" w:type="dxa"/>
            <w:shd w:val="clear" w:color="auto" w:fill="F2F2F2" w:themeFill="background1" w:themeFillShade="F2"/>
            <w:hideMark/>
          </w:tcPr>
          <w:p w14:paraId="514BF333" w14:textId="00C2DA6B"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60" w:type="dxa"/>
            <w:shd w:val="clear" w:color="auto" w:fill="F2F2F2" w:themeFill="background1" w:themeFillShade="F2"/>
            <w:hideMark/>
          </w:tcPr>
          <w:p w14:paraId="69BDC4B1" w14:textId="590A1E7B"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60" w:type="dxa"/>
            <w:shd w:val="clear" w:color="auto" w:fill="F2F2F2" w:themeFill="background1" w:themeFillShade="F2"/>
            <w:hideMark/>
          </w:tcPr>
          <w:p w14:paraId="302F99FC" w14:textId="033D6293"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c>
          <w:tcPr>
            <w:tcW w:w="1260" w:type="dxa"/>
            <w:shd w:val="clear" w:color="auto" w:fill="F2F2F2" w:themeFill="background1" w:themeFillShade="F2"/>
            <w:hideMark/>
          </w:tcPr>
          <w:p w14:paraId="2D3330AA" w14:textId="64DABE9B" w:rsidR="00E139C5" w:rsidRPr="00E139C5" w:rsidRDefault="00E36669" w:rsidP="00E139C5">
            <w:pPr>
              <w:spacing w:line="276" w:lineRule="auto"/>
              <w:jc w:val="right"/>
              <w:rPr>
                <w:szCs w:val="24"/>
              </w:rPr>
            </w:pPr>
            <w:r>
              <w:rPr>
                <w:szCs w:val="24"/>
              </w:rPr>
              <w:t xml:space="preserve">                    </w:t>
            </w:r>
            <w:r w:rsidR="00E139C5" w:rsidRPr="00E139C5">
              <w:rPr>
                <w:szCs w:val="24"/>
              </w:rPr>
              <w:t xml:space="preserve"> </w:t>
            </w:r>
          </w:p>
        </w:tc>
      </w:tr>
      <w:tr w:rsidR="00E139C5" w:rsidRPr="00E139C5" w14:paraId="3CA37EA0" w14:textId="77777777" w:rsidTr="00E139C5">
        <w:trPr>
          <w:divId w:val="1261141582"/>
          <w:trHeight w:val="255"/>
        </w:trPr>
        <w:tc>
          <w:tcPr>
            <w:tcW w:w="3145" w:type="dxa"/>
            <w:hideMark/>
          </w:tcPr>
          <w:p w14:paraId="3DC3B01F" w14:textId="77777777" w:rsidR="00E139C5" w:rsidRPr="00E139C5" w:rsidRDefault="00E139C5" w:rsidP="00E139C5">
            <w:pPr>
              <w:spacing w:line="276" w:lineRule="auto"/>
              <w:rPr>
                <w:szCs w:val="24"/>
              </w:rPr>
            </w:pPr>
            <w:r w:rsidRPr="00E139C5">
              <w:rPr>
                <w:szCs w:val="24"/>
              </w:rPr>
              <w:t>Kosto për buxhetin - një herë</w:t>
            </w:r>
          </w:p>
        </w:tc>
        <w:tc>
          <w:tcPr>
            <w:tcW w:w="1350" w:type="dxa"/>
            <w:hideMark/>
          </w:tcPr>
          <w:p w14:paraId="17485ADF" w14:textId="26E60129" w:rsidR="00E139C5" w:rsidRPr="00E139C5" w:rsidRDefault="00E36669" w:rsidP="00E139C5">
            <w:pPr>
              <w:spacing w:line="276" w:lineRule="auto"/>
              <w:ind w:left="-108" w:firstLine="108"/>
              <w:jc w:val="right"/>
              <w:rPr>
                <w:szCs w:val="24"/>
              </w:rPr>
            </w:pPr>
            <w:r>
              <w:rPr>
                <w:szCs w:val="24"/>
              </w:rPr>
              <w:t xml:space="preserve">              </w:t>
            </w:r>
            <w:r w:rsidR="00E139C5" w:rsidRPr="00E139C5">
              <w:rPr>
                <w:szCs w:val="24"/>
              </w:rPr>
              <w:t xml:space="preserve"> </w:t>
            </w:r>
          </w:p>
        </w:tc>
        <w:tc>
          <w:tcPr>
            <w:tcW w:w="1170" w:type="dxa"/>
            <w:hideMark/>
          </w:tcPr>
          <w:p w14:paraId="4DD2ED09"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2FDC4BCF"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3155205D"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29C7534C"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5ED35756"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6CCA5814"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29A1EF4D"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4663683"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20461BC1" w14:textId="77777777" w:rsidR="00E139C5" w:rsidRPr="00E139C5" w:rsidRDefault="00E139C5" w:rsidP="00E139C5">
            <w:pPr>
              <w:spacing w:line="276" w:lineRule="auto"/>
              <w:jc w:val="right"/>
              <w:rPr>
                <w:szCs w:val="24"/>
              </w:rPr>
            </w:pPr>
            <w:r w:rsidRPr="00E139C5">
              <w:rPr>
                <w:szCs w:val="24"/>
              </w:rPr>
              <w:t> </w:t>
            </w:r>
          </w:p>
        </w:tc>
      </w:tr>
      <w:tr w:rsidR="00E139C5" w:rsidRPr="00E139C5" w14:paraId="23C3F2BC" w14:textId="77777777" w:rsidTr="00E139C5">
        <w:trPr>
          <w:divId w:val="1261141582"/>
          <w:trHeight w:val="255"/>
        </w:trPr>
        <w:tc>
          <w:tcPr>
            <w:tcW w:w="3145" w:type="dxa"/>
            <w:hideMark/>
          </w:tcPr>
          <w:p w14:paraId="673D8CD9" w14:textId="77777777" w:rsidR="00E139C5" w:rsidRPr="00E139C5" w:rsidRDefault="00E139C5" w:rsidP="00E139C5">
            <w:pPr>
              <w:spacing w:line="276" w:lineRule="auto"/>
              <w:rPr>
                <w:szCs w:val="24"/>
              </w:rPr>
            </w:pPr>
            <w:r w:rsidRPr="00E139C5">
              <w:rPr>
                <w:szCs w:val="24"/>
              </w:rPr>
              <w:t>Kosto për buxhetin - në vazhdimësi</w:t>
            </w:r>
          </w:p>
        </w:tc>
        <w:tc>
          <w:tcPr>
            <w:tcW w:w="1350" w:type="dxa"/>
            <w:hideMark/>
          </w:tcPr>
          <w:p w14:paraId="3F516109" w14:textId="6D27E360" w:rsidR="00E139C5" w:rsidRPr="00E139C5" w:rsidRDefault="00E36669" w:rsidP="00E139C5">
            <w:pPr>
              <w:spacing w:line="276" w:lineRule="auto"/>
              <w:ind w:left="-108" w:firstLine="108"/>
              <w:jc w:val="right"/>
              <w:rPr>
                <w:szCs w:val="24"/>
              </w:rPr>
            </w:pPr>
            <w:r>
              <w:rPr>
                <w:szCs w:val="24"/>
              </w:rPr>
              <w:t xml:space="preserve">            </w:t>
            </w:r>
          </w:p>
        </w:tc>
        <w:tc>
          <w:tcPr>
            <w:tcW w:w="1170" w:type="dxa"/>
            <w:hideMark/>
          </w:tcPr>
          <w:p w14:paraId="300467F1" w14:textId="5338B8C2"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341461F1" w14:textId="4CB43E85" w:rsidR="00E139C5" w:rsidRPr="00E139C5" w:rsidRDefault="00E139C5" w:rsidP="00E36669">
            <w:pPr>
              <w:spacing w:line="276" w:lineRule="auto"/>
              <w:jc w:val="right"/>
              <w:rPr>
                <w:szCs w:val="24"/>
              </w:rPr>
            </w:pPr>
            <w:r w:rsidRPr="00E139C5">
              <w:rPr>
                <w:szCs w:val="24"/>
              </w:rPr>
              <w:t xml:space="preserve">            </w:t>
            </w:r>
          </w:p>
        </w:tc>
        <w:tc>
          <w:tcPr>
            <w:tcW w:w="1170" w:type="dxa"/>
            <w:hideMark/>
          </w:tcPr>
          <w:p w14:paraId="0CFE28C8" w14:textId="561B8A51"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0D6F260D" w14:textId="10EDE719"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C136655" w14:textId="051A1134"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0F49D221" w14:textId="39574108" w:rsidR="00E139C5" w:rsidRPr="00E139C5" w:rsidRDefault="00E36669" w:rsidP="00E36669">
            <w:pPr>
              <w:spacing w:line="276" w:lineRule="auto"/>
              <w:jc w:val="right"/>
              <w:rPr>
                <w:szCs w:val="24"/>
              </w:rPr>
            </w:pPr>
            <w:r>
              <w:rPr>
                <w:szCs w:val="24"/>
              </w:rPr>
              <w:t xml:space="preserve">            </w:t>
            </w:r>
            <w:r w:rsidR="00E139C5" w:rsidRPr="00E139C5">
              <w:rPr>
                <w:szCs w:val="24"/>
              </w:rPr>
              <w:t xml:space="preserve"> </w:t>
            </w:r>
          </w:p>
        </w:tc>
        <w:tc>
          <w:tcPr>
            <w:tcW w:w="1260" w:type="dxa"/>
            <w:hideMark/>
          </w:tcPr>
          <w:p w14:paraId="1E0EEA39" w14:textId="6A96652E"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3D3C42F5" w14:textId="4CE96B11"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4BE177F6" w14:textId="60E6CD3F" w:rsidR="00E139C5" w:rsidRPr="00E139C5" w:rsidRDefault="00E139C5" w:rsidP="00E36669">
            <w:pPr>
              <w:spacing w:line="276" w:lineRule="auto"/>
              <w:jc w:val="right"/>
              <w:rPr>
                <w:szCs w:val="24"/>
              </w:rPr>
            </w:pPr>
            <w:r w:rsidRPr="00E139C5">
              <w:rPr>
                <w:szCs w:val="24"/>
              </w:rPr>
              <w:t xml:space="preserve">               </w:t>
            </w:r>
          </w:p>
        </w:tc>
      </w:tr>
      <w:tr w:rsidR="00E139C5" w:rsidRPr="00E139C5" w14:paraId="3147567D" w14:textId="77777777" w:rsidTr="00E139C5">
        <w:trPr>
          <w:divId w:val="1261141582"/>
          <w:trHeight w:val="255"/>
        </w:trPr>
        <w:tc>
          <w:tcPr>
            <w:tcW w:w="3145" w:type="dxa"/>
            <w:hideMark/>
          </w:tcPr>
          <w:p w14:paraId="2F43CC06" w14:textId="77777777" w:rsidR="00E139C5" w:rsidRPr="00E139C5" w:rsidRDefault="00E139C5" w:rsidP="00E139C5">
            <w:pPr>
              <w:spacing w:line="276" w:lineRule="auto"/>
              <w:rPr>
                <w:szCs w:val="24"/>
              </w:rPr>
            </w:pPr>
            <w:r w:rsidRPr="00E139C5">
              <w:rPr>
                <w:szCs w:val="24"/>
              </w:rPr>
              <w:t xml:space="preserve">Kosto për bizneset - një herë </w:t>
            </w:r>
          </w:p>
        </w:tc>
        <w:tc>
          <w:tcPr>
            <w:tcW w:w="1350" w:type="dxa"/>
            <w:hideMark/>
          </w:tcPr>
          <w:p w14:paraId="56F6BEB8" w14:textId="1BDA0702"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52FF900E"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3146428D"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6F73F06A"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4DDB0081"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65AF2137"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0A9A1858"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54A4A7E2"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BC9609E"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078C6D3C" w14:textId="77777777" w:rsidR="00E139C5" w:rsidRPr="00E139C5" w:rsidRDefault="00E139C5" w:rsidP="00E139C5">
            <w:pPr>
              <w:spacing w:line="276" w:lineRule="auto"/>
              <w:jc w:val="right"/>
              <w:rPr>
                <w:szCs w:val="24"/>
              </w:rPr>
            </w:pPr>
            <w:r w:rsidRPr="00E139C5">
              <w:rPr>
                <w:szCs w:val="24"/>
              </w:rPr>
              <w:t> </w:t>
            </w:r>
          </w:p>
        </w:tc>
      </w:tr>
      <w:tr w:rsidR="00E139C5" w:rsidRPr="00E139C5" w14:paraId="6CE6233F" w14:textId="77777777" w:rsidTr="00E139C5">
        <w:trPr>
          <w:divId w:val="1261141582"/>
          <w:trHeight w:val="255"/>
        </w:trPr>
        <w:tc>
          <w:tcPr>
            <w:tcW w:w="3145" w:type="dxa"/>
            <w:hideMark/>
          </w:tcPr>
          <w:p w14:paraId="18CDBC06" w14:textId="77777777" w:rsidR="00E139C5" w:rsidRPr="00E139C5" w:rsidRDefault="00E139C5" w:rsidP="00E139C5">
            <w:pPr>
              <w:spacing w:line="276" w:lineRule="auto"/>
              <w:rPr>
                <w:szCs w:val="24"/>
              </w:rPr>
            </w:pPr>
            <w:r w:rsidRPr="00E139C5">
              <w:rPr>
                <w:szCs w:val="24"/>
              </w:rPr>
              <w:t>Kosto për bizneset - në vazhdimësi</w:t>
            </w:r>
          </w:p>
        </w:tc>
        <w:tc>
          <w:tcPr>
            <w:tcW w:w="1350" w:type="dxa"/>
            <w:hideMark/>
          </w:tcPr>
          <w:p w14:paraId="27B2F804" w14:textId="4FB2B12D"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17E17005" w14:textId="1A25851D"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3E933CFE" w14:textId="140C8EBD" w:rsidR="00E139C5" w:rsidRPr="00E139C5" w:rsidRDefault="00E139C5" w:rsidP="00E36669">
            <w:pPr>
              <w:spacing w:line="276" w:lineRule="auto"/>
              <w:jc w:val="right"/>
              <w:rPr>
                <w:szCs w:val="24"/>
              </w:rPr>
            </w:pPr>
            <w:r w:rsidRPr="00E139C5">
              <w:rPr>
                <w:szCs w:val="24"/>
              </w:rPr>
              <w:t xml:space="preserve">          </w:t>
            </w:r>
          </w:p>
        </w:tc>
        <w:tc>
          <w:tcPr>
            <w:tcW w:w="1170" w:type="dxa"/>
            <w:hideMark/>
          </w:tcPr>
          <w:p w14:paraId="3197B98F" w14:textId="52A26FD0"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24B68243" w14:textId="1DDA9697"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08AFF99E" w14:textId="565FC240"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6207DB7E" w14:textId="2C8B44A5"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627C5A58" w14:textId="1648DB56"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57A2DF8C" w14:textId="3E5842E7"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1E66E82F" w14:textId="235A01F9" w:rsidR="00E139C5" w:rsidRPr="00E139C5" w:rsidRDefault="00E139C5" w:rsidP="00E36669">
            <w:pPr>
              <w:spacing w:line="276" w:lineRule="auto"/>
              <w:jc w:val="right"/>
              <w:rPr>
                <w:szCs w:val="24"/>
              </w:rPr>
            </w:pPr>
            <w:r w:rsidRPr="00E139C5">
              <w:rPr>
                <w:szCs w:val="24"/>
              </w:rPr>
              <w:t xml:space="preserve">             </w:t>
            </w:r>
          </w:p>
        </w:tc>
      </w:tr>
      <w:tr w:rsidR="00E139C5" w:rsidRPr="00E139C5" w14:paraId="445EC9DA" w14:textId="77777777" w:rsidTr="00E139C5">
        <w:trPr>
          <w:divId w:val="1261141582"/>
          <w:trHeight w:val="255"/>
        </w:trPr>
        <w:tc>
          <w:tcPr>
            <w:tcW w:w="3145" w:type="dxa"/>
            <w:hideMark/>
          </w:tcPr>
          <w:p w14:paraId="53E30F5D" w14:textId="77777777" w:rsidR="00E139C5" w:rsidRPr="00E139C5" w:rsidRDefault="00E139C5" w:rsidP="00E139C5">
            <w:pPr>
              <w:spacing w:line="276" w:lineRule="auto"/>
              <w:rPr>
                <w:szCs w:val="24"/>
              </w:rPr>
            </w:pPr>
            <w:r w:rsidRPr="00E139C5">
              <w:rPr>
                <w:szCs w:val="24"/>
              </w:rPr>
              <w:t>Kosto për grupet e tjera - një herë</w:t>
            </w:r>
          </w:p>
        </w:tc>
        <w:tc>
          <w:tcPr>
            <w:tcW w:w="1350" w:type="dxa"/>
            <w:hideMark/>
          </w:tcPr>
          <w:p w14:paraId="48D136C8" w14:textId="77777777" w:rsidR="00E139C5" w:rsidRPr="00E139C5" w:rsidRDefault="00E139C5" w:rsidP="00E139C5">
            <w:pPr>
              <w:spacing w:line="276" w:lineRule="auto"/>
              <w:ind w:left="-108" w:firstLine="108"/>
              <w:jc w:val="right"/>
              <w:rPr>
                <w:szCs w:val="24"/>
              </w:rPr>
            </w:pPr>
            <w:r w:rsidRPr="00E139C5">
              <w:rPr>
                <w:szCs w:val="24"/>
              </w:rPr>
              <w:t> </w:t>
            </w:r>
          </w:p>
        </w:tc>
        <w:tc>
          <w:tcPr>
            <w:tcW w:w="1170" w:type="dxa"/>
            <w:hideMark/>
          </w:tcPr>
          <w:p w14:paraId="1D2F61E3"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3DCB0307"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303FFAE9"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21898E8B"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352E326E"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485167D3"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7608D687"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C1AE0D1"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3E2FA1CB" w14:textId="77777777" w:rsidR="00E139C5" w:rsidRPr="00E139C5" w:rsidRDefault="00E139C5" w:rsidP="00E139C5">
            <w:pPr>
              <w:spacing w:line="276" w:lineRule="auto"/>
              <w:jc w:val="right"/>
              <w:rPr>
                <w:szCs w:val="24"/>
              </w:rPr>
            </w:pPr>
            <w:r w:rsidRPr="00E139C5">
              <w:rPr>
                <w:szCs w:val="24"/>
              </w:rPr>
              <w:t> </w:t>
            </w:r>
          </w:p>
        </w:tc>
      </w:tr>
      <w:tr w:rsidR="00E139C5" w:rsidRPr="00E139C5" w14:paraId="49355DAF" w14:textId="77777777" w:rsidTr="00E139C5">
        <w:trPr>
          <w:divId w:val="1261141582"/>
          <w:trHeight w:val="270"/>
        </w:trPr>
        <w:tc>
          <w:tcPr>
            <w:tcW w:w="3145" w:type="dxa"/>
            <w:hideMark/>
          </w:tcPr>
          <w:p w14:paraId="037299A0" w14:textId="77777777" w:rsidR="00E139C5" w:rsidRPr="00E139C5" w:rsidRDefault="00E139C5" w:rsidP="00E139C5">
            <w:pPr>
              <w:spacing w:line="276" w:lineRule="auto"/>
              <w:rPr>
                <w:szCs w:val="24"/>
              </w:rPr>
            </w:pPr>
            <w:r w:rsidRPr="00E139C5">
              <w:rPr>
                <w:szCs w:val="24"/>
              </w:rPr>
              <w:t>Kosto për grupet e tjera - në vazhdimësi</w:t>
            </w:r>
          </w:p>
        </w:tc>
        <w:tc>
          <w:tcPr>
            <w:tcW w:w="1350" w:type="dxa"/>
            <w:hideMark/>
          </w:tcPr>
          <w:p w14:paraId="5E7C320A" w14:textId="77777777" w:rsidR="00E139C5" w:rsidRPr="00E139C5" w:rsidRDefault="00E139C5" w:rsidP="00E139C5">
            <w:pPr>
              <w:spacing w:line="276" w:lineRule="auto"/>
              <w:ind w:left="-108" w:firstLine="108"/>
              <w:jc w:val="right"/>
              <w:rPr>
                <w:szCs w:val="24"/>
              </w:rPr>
            </w:pPr>
            <w:r w:rsidRPr="00E139C5">
              <w:rPr>
                <w:szCs w:val="24"/>
              </w:rPr>
              <w:t xml:space="preserve">    </w:t>
            </w:r>
          </w:p>
        </w:tc>
        <w:tc>
          <w:tcPr>
            <w:tcW w:w="1170" w:type="dxa"/>
            <w:hideMark/>
          </w:tcPr>
          <w:p w14:paraId="5D989C32"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42AD1FF4"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06AF9BCD"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19F8B7E1"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75B2F340"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6D2AC726"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1D26E209"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77BA3607"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3DB7A4AD" w14:textId="77777777" w:rsidR="00E139C5" w:rsidRPr="00E139C5" w:rsidRDefault="00E139C5" w:rsidP="00E139C5">
            <w:pPr>
              <w:spacing w:line="276" w:lineRule="auto"/>
              <w:jc w:val="right"/>
              <w:rPr>
                <w:szCs w:val="24"/>
              </w:rPr>
            </w:pPr>
            <w:r w:rsidRPr="00E139C5">
              <w:rPr>
                <w:szCs w:val="24"/>
              </w:rPr>
              <w:t> </w:t>
            </w:r>
          </w:p>
        </w:tc>
      </w:tr>
      <w:tr w:rsidR="00E139C5" w:rsidRPr="00E139C5" w14:paraId="72226F67" w14:textId="77777777" w:rsidTr="00E139C5">
        <w:trPr>
          <w:divId w:val="1261141582"/>
          <w:trHeight w:val="285"/>
        </w:trPr>
        <w:tc>
          <w:tcPr>
            <w:tcW w:w="3145" w:type="dxa"/>
            <w:hideMark/>
          </w:tcPr>
          <w:p w14:paraId="1F57DE70" w14:textId="77777777" w:rsidR="00E139C5" w:rsidRPr="00E139C5" w:rsidRDefault="00E139C5" w:rsidP="00E139C5">
            <w:pPr>
              <w:spacing w:line="276" w:lineRule="auto"/>
              <w:rPr>
                <w:b/>
                <w:bCs/>
                <w:szCs w:val="24"/>
              </w:rPr>
            </w:pPr>
            <w:r w:rsidRPr="00E139C5">
              <w:rPr>
                <w:b/>
                <w:bCs/>
                <w:szCs w:val="24"/>
              </w:rPr>
              <w:t xml:space="preserve">Kosto në total </w:t>
            </w:r>
          </w:p>
        </w:tc>
        <w:tc>
          <w:tcPr>
            <w:tcW w:w="1350" w:type="dxa"/>
            <w:hideMark/>
          </w:tcPr>
          <w:p w14:paraId="08FD3CB1" w14:textId="2B8DC884"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760E0925" w14:textId="36099FD9"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1381CF26" w14:textId="330E828F" w:rsidR="00E139C5" w:rsidRPr="00E139C5" w:rsidRDefault="00E139C5" w:rsidP="00B82AE6">
            <w:pPr>
              <w:spacing w:line="276" w:lineRule="auto"/>
              <w:rPr>
                <w:szCs w:val="24"/>
              </w:rPr>
            </w:pPr>
          </w:p>
        </w:tc>
        <w:tc>
          <w:tcPr>
            <w:tcW w:w="1170" w:type="dxa"/>
            <w:hideMark/>
          </w:tcPr>
          <w:p w14:paraId="75F49E46" w14:textId="66F3BBDC"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4468C97B" w14:textId="4BF5C85F"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03065CD0" w14:textId="19C6D2E4"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262344F9" w14:textId="3E07620F"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3219BAC9" w14:textId="4EDF4F44"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201F6F96" w14:textId="73BAAF75"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1089AAA" w14:textId="2BB6770F" w:rsidR="00E139C5" w:rsidRPr="00E139C5" w:rsidRDefault="00E139C5" w:rsidP="00E36669">
            <w:pPr>
              <w:spacing w:line="276" w:lineRule="auto"/>
              <w:jc w:val="right"/>
              <w:rPr>
                <w:szCs w:val="24"/>
              </w:rPr>
            </w:pPr>
            <w:r w:rsidRPr="00E139C5">
              <w:rPr>
                <w:szCs w:val="24"/>
              </w:rPr>
              <w:t xml:space="preserve">             </w:t>
            </w:r>
          </w:p>
        </w:tc>
      </w:tr>
      <w:tr w:rsidR="00E139C5" w:rsidRPr="00E139C5" w14:paraId="6A33D8BC" w14:textId="77777777" w:rsidTr="00E139C5">
        <w:trPr>
          <w:divId w:val="1261141582"/>
          <w:trHeight w:val="375"/>
        </w:trPr>
        <w:tc>
          <w:tcPr>
            <w:tcW w:w="3145" w:type="dxa"/>
            <w:hideMark/>
          </w:tcPr>
          <w:p w14:paraId="2E18C82B" w14:textId="77777777" w:rsidR="00E139C5" w:rsidRPr="00E139C5" w:rsidRDefault="00E139C5" w:rsidP="00E139C5">
            <w:pPr>
              <w:spacing w:line="276" w:lineRule="auto"/>
              <w:rPr>
                <w:bCs/>
                <w:szCs w:val="24"/>
              </w:rPr>
            </w:pPr>
            <w:r w:rsidRPr="00E139C5">
              <w:rPr>
                <w:b/>
                <w:bCs/>
                <w:szCs w:val="24"/>
              </w:rPr>
              <w:t>Kosto e zbritur</w:t>
            </w:r>
            <w:r w:rsidRPr="00E139C5">
              <w:rPr>
                <w:szCs w:val="24"/>
              </w:rPr>
              <w:t>= Kosto në total x Faktori zbritës</w:t>
            </w:r>
          </w:p>
        </w:tc>
        <w:tc>
          <w:tcPr>
            <w:tcW w:w="1350" w:type="dxa"/>
            <w:hideMark/>
          </w:tcPr>
          <w:p w14:paraId="07C3D5F1" w14:textId="473A10D9"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7EF33A7D" w14:textId="2A33EAFB"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5417D99A" w14:textId="35AA4F5B" w:rsidR="00E139C5" w:rsidRPr="00E139C5" w:rsidRDefault="00E139C5" w:rsidP="00E36669">
            <w:pPr>
              <w:spacing w:line="276" w:lineRule="auto"/>
              <w:jc w:val="right"/>
              <w:rPr>
                <w:szCs w:val="24"/>
              </w:rPr>
            </w:pPr>
            <w:r w:rsidRPr="00E139C5">
              <w:rPr>
                <w:szCs w:val="24"/>
              </w:rPr>
              <w:t xml:space="preserve">         </w:t>
            </w:r>
          </w:p>
        </w:tc>
        <w:tc>
          <w:tcPr>
            <w:tcW w:w="1170" w:type="dxa"/>
            <w:hideMark/>
          </w:tcPr>
          <w:p w14:paraId="3203BD17" w14:textId="48657C77"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5479F485" w14:textId="491AA73D"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65A671FF" w14:textId="12B0354F"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3D70421E" w14:textId="5575C904"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16A543C1" w14:textId="236895AB"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5D250832" w14:textId="1A435F5B"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0B85222" w14:textId="4D63DBE2" w:rsidR="00E139C5" w:rsidRPr="00E139C5" w:rsidRDefault="00E139C5" w:rsidP="00E36669">
            <w:pPr>
              <w:spacing w:line="276" w:lineRule="auto"/>
              <w:jc w:val="right"/>
              <w:rPr>
                <w:szCs w:val="24"/>
              </w:rPr>
            </w:pPr>
            <w:r w:rsidRPr="00E139C5">
              <w:rPr>
                <w:szCs w:val="24"/>
              </w:rPr>
              <w:t xml:space="preserve">              </w:t>
            </w:r>
          </w:p>
        </w:tc>
      </w:tr>
      <w:tr w:rsidR="00E139C5" w:rsidRPr="00E139C5" w14:paraId="33563E79" w14:textId="77777777" w:rsidTr="00E139C5">
        <w:trPr>
          <w:divId w:val="1261141582"/>
          <w:trHeight w:val="255"/>
        </w:trPr>
        <w:tc>
          <w:tcPr>
            <w:tcW w:w="3145" w:type="dxa"/>
            <w:hideMark/>
          </w:tcPr>
          <w:p w14:paraId="620EA433" w14:textId="77777777" w:rsidR="00E139C5" w:rsidRPr="00E139C5" w:rsidRDefault="00E139C5" w:rsidP="00E139C5">
            <w:pPr>
              <w:spacing w:line="276" w:lineRule="auto"/>
              <w:rPr>
                <w:szCs w:val="24"/>
              </w:rPr>
            </w:pPr>
            <w:r w:rsidRPr="00E139C5">
              <w:rPr>
                <w:szCs w:val="24"/>
              </w:rPr>
              <w:t>Përfitimet për buxhetin – një herë</w:t>
            </w:r>
          </w:p>
        </w:tc>
        <w:tc>
          <w:tcPr>
            <w:tcW w:w="1350" w:type="dxa"/>
            <w:hideMark/>
          </w:tcPr>
          <w:p w14:paraId="66BE14B0" w14:textId="77777777" w:rsidR="00E139C5" w:rsidRPr="00E139C5" w:rsidRDefault="00E139C5" w:rsidP="00E139C5">
            <w:pPr>
              <w:spacing w:line="276" w:lineRule="auto"/>
              <w:ind w:left="-108" w:firstLine="108"/>
              <w:jc w:val="right"/>
              <w:rPr>
                <w:szCs w:val="24"/>
              </w:rPr>
            </w:pPr>
            <w:r w:rsidRPr="00E139C5">
              <w:rPr>
                <w:szCs w:val="24"/>
              </w:rPr>
              <w:t> </w:t>
            </w:r>
          </w:p>
        </w:tc>
        <w:tc>
          <w:tcPr>
            <w:tcW w:w="1170" w:type="dxa"/>
            <w:hideMark/>
          </w:tcPr>
          <w:p w14:paraId="252C8DD0"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3949314A"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47F4BDB9"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131F33E2"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2F161821"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7DA87836"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318A1BC"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2301755A"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09FFBF30" w14:textId="77777777" w:rsidR="00E139C5" w:rsidRPr="00E139C5" w:rsidRDefault="00E139C5" w:rsidP="00E139C5">
            <w:pPr>
              <w:spacing w:line="276" w:lineRule="auto"/>
              <w:jc w:val="right"/>
              <w:rPr>
                <w:szCs w:val="24"/>
              </w:rPr>
            </w:pPr>
            <w:r w:rsidRPr="00E139C5">
              <w:rPr>
                <w:szCs w:val="24"/>
              </w:rPr>
              <w:t> </w:t>
            </w:r>
          </w:p>
        </w:tc>
      </w:tr>
      <w:tr w:rsidR="00E139C5" w:rsidRPr="00E139C5" w14:paraId="1BECE69A" w14:textId="77777777" w:rsidTr="00E139C5">
        <w:trPr>
          <w:divId w:val="1261141582"/>
          <w:trHeight w:val="255"/>
        </w:trPr>
        <w:tc>
          <w:tcPr>
            <w:tcW w:w="3145" w:type="dxa"/>
            <w:hideMark/>
          </w:tcPr>
          <w:p w14:paraId="0EA77DFA" w14:textId="77777777" w:rsidR="00E139C5" w:rsidRPr="00E139C5" w:rsidRDefault="00E139C5" w:rsidP="00E139C5">
            <w:pPr>
              <w:spacing w:line="276" w:lineRule="auto"/>
              <w:rPr>
                <w:szCs w:val="24"/>
              </w:rPr>
            </w:pPr>
            <w:r w:rsidRPr="00E139C5">
              <w:rPr>
                <w:szCs w:val="24"/>
              </w:rPr>
              <w:t>Përfitimet për buxhetin – në vazhdimësi</w:t>
            </w:r>
          </w:p>
        </w:tc>
        <w:tc>
          <w:tcPr>
            <w:tcW w:w="1350" w:type="dxa"/>
            <w:hideMark/>
          </w:tcPr>
          <w:p w14:paraId="4A98A760" w14:textId="7F464E38"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5D59F99F" w14:textId="576751E8"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5FCA2A3E" w14:textId="368B7481" w:rsidR="00E139C5" w:rsidRPr="00E139C5" w:rsidRDefault="00E139C5" w:rsidP="00E139C5">
            <w:pPr>
              <w:spacing w:line="276" w:lineRule="auto"/>
              <w:jc w:val="right"/>
              <w:rPr>
                <w:szCs w:val="24"/>
              </w:rPr>
            </w:pPr>
          </w:p>
        </w:tc>
        <w:tc>
          <w:tcPr>
            <w:tcW w:w="1170" w:type="dxa"/>
            <w:hideMark/>
          </w:tcPr>
          <w:p w14:paraId="69C3726C" w14:textId="6CD82C0F" w:rsidR="00E139C5" w:rsidRPr="00E139C5" w:rsidRDefault="00E139C5" w:rsidP="00E139C5">
            <w:pPr>
              <w:spacing w:line="276" w:lineRule="auto"/>
              <w:jc w:val="right"/>
              <w:rPr>
                <w:szCs w:val="24"/>
              </w:rPr>
            </w:pPr>
          </w:p>
        </w:tc>
        <w:tc>
          <w:tcPr>
            <w:tcW w:w="1080" w:type="dxa"/>
            <w:hideMark/>
          </w:tcPr>
          <w:p w14:paraId="0A099AA4" w14:textId="2AB61DA8"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2D7E2D4B" w14:textId="4147D1A4"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5C9C540F" w14:textId="7A89161D"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451BE07" w14:textId="1DE6B30C"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EF41909" w14:textId="40ADB15F"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75717044" w14:textId="7A064FE0" w:rsidR="00E139C5" w:rsidRPr="00E139C5" w:rsidRDefault="00E139C5" w:rsidP="00E36669">
            <w:pPr>
              <w:spacing w:line="276" w:lineRule="auto"/>
              <w:jc w:val="right"/>
              <w:rPr>
                <w:szCs w:val="24"/>
              </w:rPr>
            </w:pPr>
            <w:r w:rsidRPr="00E139C5">
              <w:rPr>
                <w:szCs w:val="24"/>
              </w:rPr>
              <w:t xml:space="preserve">             </w:t>
            </w:r>
          </w:p>
        </w:tc>
      </w:tr>
      <w:tr w:rsidR="00E139C5" w:rsidRPr="00E139C5" w14:paraId="291B8639" w14:textId="77777777" w:rsidTr="00E139C5">
        <w:trPr>
          <w:divId w:val="1261141582"/>
          <w:trHeight w:val="255"/>
        </w:trPr>
        <w:tc>
          <w:tcPr>
            <w:tcW w:w="3145" w:type="dxa"/>
            <w:hideMark/>
          </w:tcPr>
          <w:p w14:paraId="6A576C32" w14:textId="77777777" w:rsidR="00E139C5" w:rsidRPr="00E139C5" w:rsidRDefault="00E139C5" w:rsidP="00E139C5">
            <w:pPr>
              <w:spacing w:line="276" w:lineRule="auto"/>
              <w:rPr>
                <w:szCs w:val="24"/>
              </w:rPr>
            </w:pPr>
            <w:r w:rsidRPr="00E139C5">
              <w:rPr>
                <w:szCs w:val="24"/>
              </w:rPr>
              <w:t>Përfitimet për grupet e tjera – një herë</w:t>
            </w:r>
          </w:p>
        </w:tc>
        <w:tc>
          <w:tcPr>
            <w:tcW w:w="1350" w:type="dxa"/>
            <w:hideMark/>
          </w:tcPr>
          <w:p w14:paraId="36DEBA98" w14:textId="77777777" w:rsidR="00E139C5" w:rsidRPr="00E139C5" w:rsidRDefault="00E139C5" w:rsidP="00E139C5">
            <w:pPr>
              <w:spacing w:line="276" w:lineRule="auto"/>
              <w:ind w:left="-108" w:firstLine="108"/>
              <w:jc w:val="right"/>
              <w:rPr>
                <w:szCs w:val="24"/>
              </w:rPr>
            </w:pPr>
            <w:r w:rsidRPr="00E139C5">
              <w:rPr>
                <w:szCs w:val="24"/>
              </w:rPr>
              <w:t> </w:t>
            </w:r>
          </w:p>
        </w:tc>
        <w:tc>
          <w:tcPr>
            <w:tcW w:w="1170" w:type="dxa"/>
            <w:hideMark/>
          </w:tcPr>
          <w:p w14:paraId="19A9196F"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0741845B"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777F400B"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67C8CD8B"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1D824EE6"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2B199BA2"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107453AC"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59BA9B57"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66E638BD" w14:textId="77777777" w:rsidR="00E139C5" w:rsidRPr="00E139C5" w:rsidRDefault="00E139C5" w:rsidP="00E139C5">
            <w:pPr>
              <w:spacing w:line="276" w:lineRule="auto"/>
              <w:jc w:val="right"/>
              <w:rPr>
                <w:szCs w:val="24"/>
              </w:rPr>
            </w:pPr>
            <w:r w:rsidRPr="00E139C5">
              <w:rPr>
                <w:szCs w:val="24"/>
              </w:rPr>
              <w:t> </w:t>
            </w:r>
          </w:p>
        </w:tc>
      </w:tr>
      <w:tr w:rsidR="00E139C5" w:rsidRPr="00E139C5" w14:paraId="3616C53F" w14:textId="77777777" w:rsidTr="00E139C5">
        <w:trPr>
          <w:divId w:val="1261141582"/>
          <w:trHeight w:val="255"/>
        </w:trPr>
        <w:tc>
          <w:tcPr>
            <w:tcW w:w="3145" w:type="dxa"/>
            <w:hideMark/>
          </w:tcPr>
          <w:p w14:paraId="1FF91133" w14:textId="77777777" w:rsidR="00E139C5" w:rsidRPr="00E139C5" w:rsidRDefault="00E139C5" w:rsidP="00E139C5">
            <w:pPr>
              <w:spacing w:line="276" w:lineRule="auto"/>
              <w:rPr>
                <w:szCs w:val="24"/>
              </w:rPr>
            </w:pPr>
            <w:r w:rsidRPr="00E139C5">
              <w:rPr>
                <w:szCs w:val="24"/>
              </w:rPr>
              <w:t>Përfitimet për grupet e tjera – në vazhdimësi</w:t>
            </w:r>
          </w:p>
        </w:tc>
        <w:tc>
          <w:tcPr>
            <w:tcW w:w="1350" w:type="dxa"/>
            <w:hideMark/>
          </w:tcPr>
          <w:p w14:paraId="311598DC" w14:textId="77777777" w:rsidR="00E139C5" w:rsidRPr="00E139C5" w:rsidRDefault="00E139C5" w:rsidP="00E139C5">
            <w:pPr>
              <w:spacing w:line="276" w:lineRule="auto"/>
              <w:ind w:left="-108" w:firstLine="108"/>
              <w:jc w:val="right"/>
              <w:rPr>
                <w:szCs w:val="24"/>
              </w:rPr>
            </w:pPr>
            <w:r w:rsidRPr="00E139C5">
              <w:rPr>
                <w:szCs w:val="24"/>
              </w:rPr>
              <w:t> </w:t>
            </w:r>
          </w:p>
        </w:tc>
        <w:tc>
          <w:tcPr>
            <w:tcW w:w="1170" w:type="dxa"/>
            <w:hideMark/>
          </w:tcPr>
          <w:p w14:paraId="249606C4"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2A8E54B0"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3153A25B"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70883C4C"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357E1523"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40FDBE59"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617C45FB"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77958C5E"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3F36D85A" w14:textId="77777777" w:rsidR="00E139C5" w:rsidRPr="00E139C5" w:rsidRDefault="00E139C5" w:rsidP="00E139C5">
            <w:pPr>
              <w:spacing w:line="276" w:lineRule="auto"/>
              <w:jc w:val="right"/>
              <w:rPr>
                <w:szCs w:val="24"/>
              </w:rPr>
            </w:pPr>
            <w:r w:rsidRPr="00E139C5">
              <w:rPr>
                <w:szCs w:val="24"/>
              </w:rPr>
              <w:t> </w:t>
            </w:r>
          </w:p>
        </w:tc>
      </w:tr>
      <w:tr w:rsidR="00E139C5" w:rsidRPr="00E139C5" w14:paraId="6E53C29F" w14:textId="77777777" w:rsidTr="00E139C5">
        <w:trPr>
          <w:divId w:val="1261141582"/>
          <w:trHeight w:val="255"/>
        </w:trPr>
        <w:tc>
          <w:tcPr>
            <w:tcW w:w="3145" w:type="dxa"/>
            <w:hideMark/>
          </w:tcPr>
          <w:p w14:paraId="2299BF7B" w14:textId="77777777" w:rsidR="00E139C5" w:rsidRPr="00E139C5" w:rsidRDefault="00E139C5" w:rsidP="00E139C5">
            <w:pPr>
              <w:spacing w:line="276" w:lineRule="auto"/>
              <w:rPr>
                <w:szCs w:val="24"/>
              </w:rPr>
            </w:pPr>
            <w:r w:rsidRPr="00E139C5">
              <w:rPr>
                <w:szCs w:val="24"/>
              </w:rPr>
              <w:t>Përfitimet për biznesin – një herë</w:t>
            </w:r>
          </w:p>
        </w:tc>
        <w:tc>
          <w:tcPr>
            <w:tcW w:w="1350" w:type="dxa"/>
            <w:hideMark/>
          </w:tcPr>
          <w:p w14:paraId="7F5390FF" w14:textId="2BD56E98"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43EE7322" w14:textId="77777777"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14:paraId="2DC3B9CB" w14:textId="77777777" w:rsidR="00E139C5" w:rsidRPr="00E139C5" w:rsidRDefault="00E139C5" w:rsidP="00E139C5">
            <w:pPr>
              <w:spacing w:line="276" w:lineRule="auto"/>
              <w:jc w:val="right"/>
              <w:rPr>
                <w:szCs w:val="24"/>
              </w:rPr>
            </w:pPr>
            <w:r w:rsidRPr="00E139C5">
              <w:rPr>
                <w:szCs w:val="24"/>
              </w:rPr>
              <w:t> </w:t>
            </w:r>
          </w:p>
        </w:tc>
        <w:tc>
          <w:tcPr>
            <w:tcW w:w="1170" w:type="dxa"/>
            <w:hideMark/>
          </w:tcPr>
          <w:p w14:paraId="48BB5D70"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56FC7079"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2D73A32E" w14:textId="77777777" w:rsidR="00E139C5" w:rsidRPr="00E139C5" w:rsidRDefault="00E139C5" w:rsidP="00E139C5">
            <w:pPr>
              <w:spacing w:line="276" w:lineRule="auto"/>
              <w:jc w:val="right"/>
              <w:rPr>
                <w:szCs w:val="24"/>
              </w:rPr>
            </w:pPr>
            <w:r w:rsidRPr="00E139C5">
              <w:rPr>
                <w:szCs w:val="24"/>
              </w:rPr>
              <w:t> </w:t>
            </w:r>
          </w:p>
        </w:tc>
        <w:tc>
          <w:tcPr>
            <w:tcW w:w="1080" w:type="dxa"/>
            <w:hideMark/>
          </w:tcPr>
          <w:p w14:paraId="4847F1A7"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0B0E7A9F"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582EF44" w14:textId="77777777" w:rsidR="00E139C5" w:rsidRPr="00E139C5" w:rsidRDefault="00E139C5" w:rsidP="00E139C5">
            <w:pPr>
              <w:spacing w:line="276" w:lineRule="auto"/>
              <w:jc w:val="right"/>
              <w:rPr>
                <w:szCs w:val="24"/>
              </w:rPr>
            </w:pPr>
            <w:r w:rsidRPr="00E139C5">
              <w:rPr>
                <w:szCs w:val="24"/>
              </w:rPr>
              <w:t> </w:t>
            </w:r>
          </w:p>
        </w:tc>
        <w:tc>
          <w:tcPr>
            <w:tcW w:w="1260" w:type="dxa"/>
            <w:hideMark/>
          </w:tcPr>
          <w:p w14:paraId="4B21E4CF" w14:textId="77777777" w:rsidR="00E139C5" w:rsidRPr="00E139C5" w:rsidRDefault="00E139C5" w:rsidP="00E139C5">
            <w:pPr>
              <w:spacing w:line="276" w:lineRule="auto"/>
              <w:jc w:val="right"/>
              <w:rPr>
                <w:szCs w:val="24"/>
              </w:rPr>
            </w:pPr>
            <w:r w:rsidRPr="00E139C5">
              <w:rPr>
                <w:szCs w:val="24"/>
              </w:rPr>
              <w:t> </w:t>
            </w:r>
          </w:p>
        </w:tc>
      </w:tr>
      <w:tr w:rsidR="00E139C5" w:rsidRPr="00E139C5" w14:paraId="4E25EAAF" w14:textId="77777777" w:rsidTr="00E139C5">
        <w:trPr>
          <w:divId w:val="1261141582"/>
          <w:trHeight w:val="270"/>
        </w:trPr>
        <w:tc>
          <w:tcPr>
            <w:tcW w:w="3145" w:type="dxa"/>
            <w:hideMark/>
          </w:tcPr>
          <w:p w14:paraId="1E5E3D68" w14:textId="77777777" w:rsidR="00E139C5" w:rsidRPr="00E139C5" w:rsidRDefault="00E139C5" w:rsidP="00E139C5">
            <w:pPr>
              <w:spacing w:line="276" w:lineRule="auto"/>
              <w:rPr>
                <w:szCs w:val="24"/>
              </w:rPr>
            </w:pPr>
            <w:r w:rsidRPr="00E139C5">
              <w:rPr>
                <w:szCs w:val="24"/>
              </w:rPr>
              <w:lastRenderedPageBreak/>
              <w:t>Përfitimet për biznesin – në vazhdimësi</w:t>
            </w:r>
          </w:p>
        </w:tc>
        <w:tc>
          <w:tcPr>
            <w:tcW w:w="1350" w:type="dxa"/>
            <w:hideMark/>
          </w:tcPr>
          <w:p w14:paraId="20668B23" w14:textId="16C8D30D"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hideMark/>
          </w:tcPr>
          <w:p w14:paraId="18F474B7" w14:textId="3FC39DC8" w:rsidR="00E139C5" w:rsidRPr="00E139C5" w:rsidRDefault="00E139C5" w:rsidP="00E36669">
            <w:pPr>
              <w:spacing w:line="276" w:lineRule="auto"/>
              <w:ind w:left="-108" w:firstLine="108"/>
              <w:jc w:val="right"/>
              <w:rPr>
                <w:szCs w:val="24"/>
              </w:rPr>
            </w:pPr>
            <w:r w:rsidRPr="00E139C5">
              <w:rPr>
                <w:szCs w:val="24"/>
              </w:rPr>
              <w:t xml:space="preserve">              </w:t>
            </w:r>
          </w:p>
        </w:tc>
        <w:tc>
          <w:tcPr>
            <w:tcW w:w="1080" w:type="dxa"/>
            <w:hideMark/>
          </w:tcPr>
          <w:p w14:paraId="752E5064" w14:textId="1D1EF372" w:rsidR="00E139C5" w:rsidRPr="00E139C5" w:rsidRDefault="00E139C5" w:rsidP="00E36669">
            <w:pPr>
              <w:spacing w:line="276" w:lineRule="auto"/>
              <w:jc w:val="right"/>
              <w:rPr>
                <w:szCs w:val="24"/>
              </w:rPr>
            </w:pPr>
            <w:r w:rsidRPr="00E139C5">
              <w:rPr>
                <w:szCs w:val="24"/>
              </w:rPr>
              <w:t xml:space="preserve">             </w:t>
            </w:r>
          </w:p>
        </w:tc>
        <w:tc>
          <w:tcPr>
            <w:tcW w:w="1170" w:type="dxa"/>
            <w:hideMark/>
          </w:tcPr>
          <w:p w14:paraId="0CCF0A36" w14:textId="236DD951"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7DC77315" w14:textId="1C58DC23"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6796F90B" w14:textId="32BC719F" w:rsidR="00E139C5" w:rsidRPr="00E139C5" w:rsidRDefault="00E139C5" w:rsidP="00E36669">
            <w:pPr>
              <w:spacing w:line="276" w:lineRule="auto"/>
              <w:jc w:val="right"/>
              <w:rPr>
                <w:szCs w:val="24"/>
              </w:rPr>
            </w:pPr>
            <w:r w:rsidRPr="00E139C5">
              <w:rPr>
                <w:szCs w:val="24"/>
              </w:rPr>
              <w:t xml:space="preserve">               </w:t>
            </w:r>
          </w:p>
        </w:tc>
        <w:tc>
          <w:tcPr>
            <w:tcW w:w="1080" w:type="dxa"/>
            <w:hideMark/>
          </w:tcPr>
          <w:p w14:paraId="25DD041F" w14:textId="41C70F73"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2AF3ED08" w14:textId="41CD6A9D"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6AD92897" w14:textId="5E1EF6B2" w:rsidR="00E139C5" w:rsidRPr="00E139C5" w:rsidRDefault="00E139C5" w:rsidP="00E36669">
            <w:pPr>
              <w:spacing w:line="276" w:lineRule="auto"/>
              <w:jc w:val="right"/>
              <w:rPr>
                <w:szCs w:val="24"/>
              </w:rPr>
            </w:pPr>
            <w:r w:rsidRPr="00E139C5">
              <w:rPr>
                <w:szCs w:val="24"/>
              </w:rPr>
              <w:t xml:space="preserve">                </w:t>
            </w:r>
          </w:p>
        </w:tc>
        <w:tc>
          <w:tcPr>
            <w:tcW w:w="1260" w:type="dxa"/>
            <w:hideMark/>
          </w:tcPr>
          <w:p w14:paraId="27F71D25" w14:textId="2BD777D7" w:rsidR="00E139C5" w:rsidRPr="00E139C5" w:rsidRDefault="00E139C5" w:rsidP="00E36669">
            <w:pPr>
              <w:spacing w:line="276" w:lineRule="auto"/>
              <w:jc w:val="right"/>
              <w:rPr>
                <w:szCs w:val="24"/>
              </w:rPr>
            </w:pPr>
            <w:r w:rsidRPr="00E139C5">
              <w:rPr>
                <w:szCs w:val="24"/>
              </w:rPr>
              <w:t xml:space="preserve">                 </w:t>
            </w:r>
          </w:p>
        </w:tc>
      </w:tr>
      <w:tr w:rsidR="00E139C5" w:rsidRPr="00E139C5" w14:paraId="602A07C6" w14:textId="77777777" w:rsidTr="00E139C5">
        <w:trPr>
          <w:divId w:val="1261141582"/>
          <w:trHeight w:val="285"/>
        </w:trPr>
        <w:tc>
          <w:tcPr>
            <w:tcW w:w="3145" w:type="dxa"/>
            <w:hideMark/>
          </w:tcPr>
          <w:p w14:paraId="1FA9180A" w14:textId="77777777" w:rsidR="00E139C5" w:rsidRPr="00E139C5" w:rsidRDefault="00E139C5" w:rsidP="00E139C5">
            <w:pPr>
              <w:spacing w:line="276" w:lineRule="auto"/>
              <w:rPr>
                <w:b/>
                <w:bCs/>
                <w:szCs w:val="24"/>
              </w:rPr>
            </w:pPr>
            <w:r w:rsidRPr="00E139C5">
              <w:rPr>
                <w:b/>
                <w:bCs/>
                <w:szCs w:val="24"/>
              </w:rPr>
              <w:t>Përfitimet totale</w:t>
            </w:r>
          </w:p>
        </w:tc>
        <w:tc>
          <w:tcPr>
            <w:tcW w:w="1350" w:type="dxa"/>
            <w:tcBorders>
              <w:bottom w:val="single" w:sz="4" w:space="0" w:color="auto"/>
            </w:tcBorders>
            <w:hideMark/>
          </w:tcPr>
          <w:p w14:paraId="350BF0A7" w14:textId="03E0CF45"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tcBorders>
              <w:bottom w:val="single" w:sz="4" w:space="0" w:color="auto"/>
            </w:tcBorders>
            <w:hideMark/>
          </w:tcPr>
          <w:p w14:paraId="261C1947" w14:textId="31E22BE5" w:rsidR="00E139C5" w:rsidRPr="00E139C5" w:rsidRDefault="00E139C5" w:rsidP="00E139C5">
            <w:pPr>
              <w:spacing w:line="276" w:lineRule="auto"/>
              <w:ind w:left="-108" w:firstLine="108"/>
              <w:jc w:val="right"/>
              <w:rPr>
                <w:szCs w:val="24"/>
              </w:rPr>
            </w:pPr>
          </w:p>
        </w:tc>
        <w:tc>
          <w:tcPr>
            <w:tcW w:w="1080" w:type="dxa"/>
            <w:tcBorders>
              <w:bottom w:val="single" w:sz="4" w:space="0" w:color="auto"/>
            </w:tcBorders>
            <w:hideMark/>
          </w:tcPr>
          <w:p w14:paraId="1F026DC5" w14:textId="43031D63" w:rsidR="00E139C5" w:rsidRPr="00E139C5" w:rsidRDefault="00E139C5" w:rsidP="00E36669">
            <w:pPr>
              <w:spacing w:line="276" w:lineRule="auto"/>
              <w:jc w:val="right"/>
              <w:rPr>
                <w:szCs w:val="24"/>
              </w:rPr>
            </w:pPr>
            <w:r w:rsidRPr="00E139C5">
              <w:rPr>
                <w:szCs w:val="24"/>
              </w:rPr>
              <w:t xml:space="preserve">          </w:t>
            </w:r>
          </w:p>
        </w:tc>
        <w:tc>
          <w:tcPr>
            <w:tcW w:w="1170" w:type="dxa"/>
            <w:tcBorders>
              <w:bottom w:val="single" w:sz="4" w:space="0" w:color="auto"/>
            </w:tcBorders>
            <w:hideMark/>
          </w:tcPr>
          <w:p w14:paraId="3B39E227" w14:textId="32D71D14" w:rsidR="00E139C5" w:rsidRPr="00E139C5" w:rsidRDefault="00E139C5" w:rsidP="00E36669">
            <w:pPr>
              <w:spacing w:line="276" w:lineRule="auto"/>
              <w:jc w:val="right"/>
              <w:rPr>
                <w:szCs w:val="24"/>
              </w:rPr>
            </w:pPr>
            <w:r w:rsidRPr="00E139C5">
              <w:rPr>
                <w:szCs w:val="24"/>
              </w:rPr>
              <w:t xml:space="preserve">          </w:t>
            </w:r>
          </w:p>
        </w:tc>
        <w:tc>
          <w:tcPr>
            <w:tcW w:w="1080" w:type="dxa"/>
            <w:tcBorders>
              <w:bottom w:val="single" w:sz="4" w:space="0" w:color="auto"/>
            </w:tcBorders>
            <w:hideMark/>
          </w:tcPr>
          <w:p w14:paraId="36A5C5DD" w14:textId="1B7A60C0"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10A48502" w14:textId="3D115844" w:rsidR="00E139C5" w:rsidRPr="00E139C5" w:rsidRDefault="00E139C5" w:rsidP="00E36669">
            <w:pPr>
              <w:spacing w:line="276" w:lineRule="auto"/>
              <w:jc w:val="right"/>
              <w:rPr>
                <w:szCs w:val="24"/>
              </w:rPr>
            </w:pPr>
            <w:r w:rsidRPr="00E139C5">
              <w:rPr>
                <w:szCs w:val="24"/>
              </w:rPr>
              <w:t xml:space="preserve">           </w:t>
            </w:r>
          </w:p>
        </w:tc>
        <w:tc>
          <w:tcPr>
            <w:tcW w:w="1080" w:type="dxa"/>
            <w:tcBorders>
              <w:bottom w:val="single" w:sz="4" w:space="0" w:color="auto"/>
            </w:tcBorders>
            <w:hideMark/>
          </w:tcPr>
          <w:p w14:paraId="128F496A" w14:textId="182654D9" w:rsidR="00E139C5" w:rsidRPr="00E139C5" w:rsidRDefault="00E139C5" w:rsidP="00E139C5">
            <w:pPr>
              <w:spacing w:line="276" w:lineRule="auto"/>
              <w:jc w:val="right"/>
              <w:rPr>
                <w:szCs w:val="24"/>
              </w:rPr>
            </w:pPr>
          </w:p>
        </w:tc>
        <w:tc>
          <w:tcPr>
            <w:tcW w:w="1260" w:type="dxa"/>
            <w:tcBorders>
              <w:bottom w:val="single" w:sz="4" w:space="0" w:color="auto"/>
            </w:tcBorders>
            <w:hideMark/>
          </w:tcPr>
          <w:p w14:paraId="1E001704" w14:textId="3C16DF0A"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047FAE14" w14:textId="37BE2F75"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3145DC87" w14:textId="79B969D7" w:rsidR="00E139C5" w:rsidRPr="00E139C5" w:rsidRDefault="00E139C5" w:rsidP="00E36669">
            <w:pPr>
              <w:spacing w:line="276" w:lineRule="auto"/>
              <w:jc w:val="right"/>
              <w:rPr>
                <w:szCs w:val="24"/>
              </w:rPr>
            </w:pPr>
            <w:r w:rsidRPr="00E139C5">
              <w:rPr>
                <w:szCs w:val="24"/>
              </w:rPr>
              <w:t xml:space="preserve">             </w:t>
            </w:r>
          </w:p>
        </w:tc>
      </w:tr>
      <w:tr w:rsidR="00E139C5" w:rsidRPr="00E139C5" w14:paraId="66DD2E98" w14:textId="77777777" w:rsidTr="00E139C5">
        <w:trPr>
          <w:divId w:val="1261141582"/>
          <w:trHeight w:val="390"/>
        </w:trPr>
        <w:tc>
          <w:tcPr>
            <w:tcW w:w="3145" w:type="dxa"/>
            <w:hideMark/>
          </w:tcPr>
          <w:p w14:paraId="477923E0" w14:textId="77777777" w:rsidR="00E139C5" w:rsidRPr="00E139C5" w:rsidRDefault="00E139C5" w:rsidP="00E139C5">
            <w:pPr>
              <w:spacing w:line="276" w:lineRule="auto"/>
              <w:rPr>
                <w:bCs/>
                <w:szCs w:val="24"/>
              </w:rPr>
            </w:pPr>
            <w:r w:rsidRPr="00E139C5">
              <w:rPr>
                <w:b/>
                <w:bCs/>
                <w:szCs w:val="24"/>
              </w:rPr>
              <w:t>Përfitimi i zbritur</w:t>
            </w:r>
            <w:r w:rsidRPr="00E139C5">
              <w:rPr>
                <w:szCs w:val="24"/>
              </w:rPr>
              <w:t>= Përfitimi në total x faktori zbritës</w:t>
            </w:r>
          </w:p>
        </w:tc>
        <w:tc>
          <w:tcPr>
            <w:tcW w:w="1350" w:type="dxa"/>
            <w:tcBorders>
              <w:bottom w:val="single" w:sz="4" w:space="0" w:color="auto"/>
            </w:tcBorders>
            <w:hideMark/>
          </w:tcPr>
          <w:p w14:paraId="0D622643" w14:textId="7633214F" w:rsidR="00E139C5" w:rsidRPr="00E139C5" w:rsidRDefault="00E139C5" w:rsidP="00E36669">
            <w:pPr>
              <w:spacing w:line="276" w:lineRule="auto"/>
              <w:ind w:left="-108" w:firstLine="108"/>
              <w:jc w:val="right"/>
              <w:rPr>
                <w:szCs w:val="24"/>
              </w:rPr>
            </w:pPr>
            <w:r w:rsidRPr="00E139C5">
              <w:rPr>
                <w:szCs w:val="24"/>
              </w:rPr>
              <w:t xml:space="preserve">             </w:t>
            </w:r>
          </w:p>
        </w:tc>
        <w:tc>
          <w:tcPr>
            <w:tcW w:w="1170" w:type="dxa"/>
            <w:tcBorders>
              <w:bottom w:val="single" w:sz="4" w:space="0" w:color="auto"/>
            </w:tcBorders>
            <w:hideMark/>
          </w:tcPr>
          <w:p w14:paraId="0962A2AC" w14:textId="320FEBDD" w:rsidR="00E139C5" w:rsidRPr="00E139C5" w:rsidRDefault="00E139C5" w:rsidP="00E139C5">
            <w:pPr>
              <w:spacing w:line="276" w:lineRule="auto"/>
              <w:ind w:left="-108" w:firstLine="108"/>
              <w:jc w:val="right"/>
              <w:rPr>
                <w:szCs w:val="24"/>
              </w:rPr>
            </w:pPr>
          </w:p>
        </w:tc>
        <w:tc>
          <w:tcPr>
            <w:tcW w:w="1080" w:type="dxa"/>
            <w:tcBorders>
              <w:bottom w:val="single" w:sz="4" w:space="0" w:color="auto"/>
            </w:tcBorders>
            <w:hideMark/>
          </w:tcPr>
          <w:p w14:paraId="28075B28" w14:textId="40024D6B" w:rsidR="00E139C5" w:rsidRPr="00E139C5" w:rsidRDefault="00E139C5" w:rsidP="00E36669">
            <w:pPr>
              <w:spacing w:line="276" w:lineRule="auto"/>
              <w:jc w:val="right"/>
              <w:rPr>
                <w:szCs w:val="24"/>
              </w:rPr>
            </w:pPr>
            <w:r w:rsidRPr="00E139C5">
              <w:rPr>
                <w:szCs w:val="24"/>
              </w:rPr>
              <w:t xml:space="preserve">          </w:t>
            </w:r>
          </w:p>
        </w:tc>
        <w:tc>
          <w:tcPr>
            <w:tcW w:w="1170" w:type="dxa"/>
            <w:tcBorders>
              <w:bottom w:val="single" w:sz="4" w:space="0" w:color="auto"/>
            </w:tcBorders>
            <w:hideMark/>
          </w:tcPr>
          <w:p w14:paraId="3D40C9A0" w14:textId="41D3134B" w:rsidR="00E139C5" w:rsidRPr="00E139C5" w:rsidRDefault="00E139C5" w:rsidP="00E36669">
            <w:pPr>
              <w:spacing w:line="276" w:lineRule="auto"/>
              <w:jc w:val="right"/>
              <w:rPr>
                <w:szCs w:val="24"/>
              </w:rPr>
            </w:pPr>
            <w:r w:rsidRPr="00E139C5">
              <w:rPr>
                <w:szCs w:val="24"/>
              </w:rPr>
              <w:t xml:space="preserve">          </w:t>
            </w:r>
          </w:p>
        </w:tc>
        <w:tc>
          <w:tcPr>
            <w:tcW w:w="1080" w:type="dxa"/>
            <w:tcBorders>
              <w:bottom w:val="single" w:sz="4" w:space="0" w:color="auto"/>
            </w:tcBorders>
            <w:hideMark/>
          </w:tcPr>
          <w:p w14:paraId="7983CC86" w14:textId="516F968A"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504A22DF" w14:textId="7DC4D90E" w:rsidR="00E139C5" w:rsidRPr="00E139C5" w:rsidRDefault="00E139C5" w:rsidP="00E139C5">
            <w:pPr>
              <w:spacing w:line="276" w:lineRule="auto"/>
              <w:jc w:val="right"/>
              <w:rPr>
                <w:szCs w:val="24"/>
              </w:rPr>
            </w:pPr>
          </w:p>
        </w:tc>
        <w:tc>
          <w:tcPr>
            <w:tcW w:w="1080" w:type="dxa"/>
            <w:tcBorders>
              <w:bottom w:val="single" w:sz="4" w:space="0" w:color="auto"/>
            </w:tcBorders>
            <w:hideMark/>
          </w:tcPr>
          <w:p w14:paraId="472897F5" w14:textId="58BB8974" w:rsidR="00E139C5" w:rsidRPr="00E139C5" w:rsidRDefault="00E139C5" w:rsidP="00E139C5">
            <w:pPr>
              <w:spacing w:line="276" w:lineRule="auto"/>
              <w:jc w:val="right"/>
              <w:rPr>
                <w:szCs w:val="24"/>
              </w:rPr>
            </w:pPr>
          </w:p>
        </w:tc>
        <w:tc>
          <w:tcPr>
            <w:tcW w:w="1260" w:type="dxa"/>
            <w:tcBorders>
              <w:bottom w:val="single" w:sz="4" w:space="0" w:color="auto"/>
            </w:tcBorders>
            <w:hideMark/>
          </w:tcPr>
          <w:p w14:paraId="7B5A6EC3" w14:textId="61951E2F"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57582A19" w14:textId="168BE1E2" w:rsidR="00E139C5" w:rsidRPr="00E139C5" w:rsidRDefault="00E139C5" w:rsidP="00E36669">
            <w:pPr>
              <w:spacing w:line="276" w:lineRule="auto"/>
              <w:jc w:val="right"/>
              <w:rPr>
                <w:szCs w:val="24"/>
              </w:rPr>
            </w:pPr>
            <w:r w:rsidRPr="00E139C5">
              <w:rPr>
                <w:szCs w:val="24"/>
              </w:rPr>
              <w:t xml:space="preserve">              </w:t>
            </w:r>
          </w:p>
        </w:tc>
        <w:tc>
          <w:tcPr>
            <w:tcW w:w="1260" w:type="dxa"/>
            <w:tcBorders>
              <w:bottom w:val="single" w:sz="4" w:space="0" w:color="auto"/>
            </w:tcBorders>
            <w:hideMark/>
          </w:tcPr>
          <w:p w14:paraId="6C53D347" w14:textId="68AD8451" w:rsidR="00E139C5" w:rsidRPr="00E139C5" w:rsidRDefault="00E139C5" w:rsidP="00E36669">
            <w:pPr>
              <w:spacing w:line="276" w:lineRule="auto"/>
              <w:jc w:val="right"/>
              <w:rPr>
                <w:szCs w:val="24"/>
              </w:rPr>
            </w:pPr>
            <w:r w:rsidRPr="00E139C5">
              <w:rPr>
                <w:szCs w:val="24"/>
              </w:rPr>
              <w:t xml:space="preserve">             </w:t>
            </w:r>
          </w:p>
        </w:tc>
      </w:tr>
      <w:tr w:rsidR="00E139C5" w:rsidRPr="00E139C5" w14:paraId="1B6C4909" w14:textId="77777777" w:rsidTr="00E139C5">
        <w:trPr>
          <w:divId w:val="1261141582"/>
          <w:trHeight w:val="375"/>
        </w:trPr>
        <w:tc>
          <w:tcPr>
            <w:tcW w:w="3145" w:type="dxa"/>
            <w:shd w:val="clear" w:color="auto" w:fill="F2F2F2" w:themeFill="background1" w:themeFillShade="F2"/>
            <w:hideMark/>
          </w:tcPr>
          <w:p w14:paraId="4E517B53" w14:textId="77777777" w:rsidR="00E139C5" w:rsidRPr="00E139C5" w:rsidRDefault="00E139C5" w:rsidP="00E139C5">
            <w:pPr>
              <w:spacing w:line="276" w:lineRule="auto"/>
              <w:rPr>
                <w:b/>
                <w:bCs/>
                <w:szCs w:val="24"/>
              </w:rPr>
            </w:pPr>
            <w:r w:rsidRPr="00E139C5">
              <w:rPr>
                <w:b/>
                <w:bCs/>
                <w:szCs w:val="24"/>
              </w:rPr>
              <w:t>Vlera prezente aktuale e përfitimit në total</w:t>
            </w:r>
          </w:p>
        </w:tc>
        <w:tc>
          <w:tcPr>
            <w:tcW w:w="1350" w:type="dxa"/>
            <w:tcBorders>
              <w:top w:val="single" w:sz="4" w:space="0" w:color="auto"/>
              <w:right w:val="single" w:sz="4" w:space="0" w:color="auto"/>
            </w:tcBorders>
            <w:shd w:val="clear" w:color="auto" w:fill="F2F2F2" w:themeFill="background1" w:themeFillShade="F2"/>
            <w:hideMark/>
          </w:tcPr>
          <w:p w14:paraId="26F4ED87" w14:textId="2067FF2E" w:rsidR="00E139C5" w:rsidRPr="00E139C5" w:rsidRDefault="00E139C5" w:rsidP="00E36669">
            <w:pPr>
              <w:spacing w:line="276" w:lineRule="auto"/>
              <w:ind w:left="-108" w:firstLine="108"/>
              <w:jc w:val="right"/>
              <w:rPr>
                <w:bCs/>
                <w:szCs w:val="24"/>
              </w:rPr>
            </w:pPr>
            <w:r w:rsidRPr="00E139C5">
              <w:rPr>
                <w:bCs/>
                <w:szCs w:val="24"/>
              </w:rPr>
              <w:t xml:space="preserve">  </w:t>
            </w:r>
          </w:p>
        </w:tc>
        <w:tc>
          <w:tcPr>
            <w:tcW w:w="10620" w:type="dxa"/>
            <w:gridSpan w:val="9"/>
            <w:tcBorders>
              <w:top w:val="single" w:sz="4" w:space="0" w:color="auto"/>
              <w:left w:val="single" w:sz="4" w:space="0" w:color="auto"/>
              <w:bottom w:val="nil"/>
              <w:right w:val="nil"/>
            </w:tcBorders>
            <w:hideMark/>
          </w:tcPr>
          <w:p w14:paraId="1D492DBC" w14:textId="77777777" w:rsidR="00E139C5" w:rsidRPr="00E139C5" w:rsidRDefault="00E139C5" w:rsidP="00E139C5">
            <w:pPr>
              <w:spacing w:line="276" w:lineRule="auto"/>
              <w:ind w:left="-108" w:firstLine="108"/>
              <w:jc w:val="right"/>
              <w:rPr>
                <w:szCs w:val="24"/>
              </w:rPr>
            </w:pPr>
            <w:r w:rsidRPr="00E139C5">
              <w:rPr>
                <w:szCs w:val="24"/>
              </w:rPr>
              <w:t> </w:t>
            </w:r>
          </w:p>
        </w:tc>
      </w:tr>
      <w:tr w:rsidR="00E139C5" w:rsidRPr="00E139C5" w14:paraId="389CE17E" w14:textId="77777777" w:rsidTr="00E139C5">
        <w:trPr>
          <w:divId w:val="1261141582"/>
          <w:trHeight w:val="270"/>
        </w:trPr>
        <w:tc>
          <w:tcPr>
            <w:tcW w:w="3145" w:type="dxa"/>
            <w:shd w:val="clear" w:color="auto" w:fill="F2F2F2" w:themeFill="background1" w:themeFillShade="F2"/>
            <w:hideMark/>
          </w:tcPr>
          <w:p w14:paraId="243A998A" w14:textId="77777777" w:rsidR="00E139C5" w:rsidRPr="00E139C5" w:rsidRDefault="00E139C5" w:rsidP="00E139C5">
            <w:pPr>
              <w:spacing w:line="276" w:lineRule="auto"/>
              <w:rPr>
                <w:b/>
                <w:bCs/>
                <w:szCs w:val="24"/>
              </w:rPr>
            </w:pPr>
            <w:r w:rsidRPr="00E139C5">
              <w:rPr>
                <w:b/>
                <w:bCs/>
                <w:szCs w:val="24"/>
              </w:rPr>
              <w:t>Vlera prezente aktuale e kostos në total</w:t>
            </w:r>
          </w:p>
        </w:tc>
        <w:tc>
          <w:tcPr>
            <w:tcW w:w="1350" w:type="dxa"/>
            <w:tcBorders>
              <w:right w:val="single" w:sz="4" w:space="0" w:color="auto"/>
            </w:tcBorders>
            <w:shd w:val="clear" w:color="auto" w:fill="F2F2F2" w:themeFill="background1" w:themeFillShade="F2"/>
            <w:hideMark/>
          </w:tcPr>
          <w:p w14:paraId="7721109B" w14:textId="695EFC99" w:rsidR="00E139C5" w:rsidRPr="00E139C5" w:rsidRDefault="00E139C5" w:rsidP="00E139C5">
            <w:pPr>
              <w:spacing w:line="276" w:lineRule="auto"/>
              <w:ind w:left="-108" w:firstLine="108"/>
              <w:jc w:val="right"/>
              <w:rPr>
                <w:bCs/>
                <w:szCs w:val="24"/>
              </w:rPr>
            </w:pPr>
          </w:p>
        </w:tc>
        <w:tc>
          <w:tcPr>
            <w:tcW w:w="10620" w:type="dxa"/>
            <w:gridSpan w:val="9"/>
            <w:tcBorders>
              <w:top w:val="nil"/>
              <w:left w:val="single" w:sz="4" w:space="0" w:color="auto"/>
              <w:bottom w:val="nil"/>
              <w:right w:val="nil"/>
            </w:tcBorders>
            <w:hideMark/>
          </w:tcPr>
          <w:p w14:paraId="4A870378" w14:textId="77777777" w:rsidR="00E139C5" w:rsidRPr="00E139C5" w:rsidRDefault="00E139C5" w:rsidP="00E139C5">
            <w:pPr>
              <w:spacing w:line="276" w:lineRule="auto"/>
              <w:ind w:left="-108" w:firstLine="108"/>
              <w:jc w:val="right"/>
              <w:rPr>
                <w:szCs w:val="24"/>
              </w:rPr>
            </w:pPr>
            <w:r w:rsidRPr="00E139C5">
              <w:rPr>
                <w:szCs w:val="24"/>
              </w:rPr>
              <w:t> </w:t>
            </w:r>
          </w:p>
        </w:tc>
      </w:tr>
      <w:tr w:rsidR="00E139C5" w:rsidRPr="00E139C5" w14:paraId="613A0A51" w14:textId="77777777" w:rsidTr="00E139C5">
        <w:trPr>
          <w:divId w:val="1261141582"/>
          <w:trHeight w:val="555"/>
        </w:trPr>
        <w:tc>
          <w:tcPr>
            <w:tcW w:w="3145" w:type="dxa"/>
            <w:shd w:val="clear" w:color="auto" w:fill="F2F2F2" w:themeFill="background1" w:themeFillShade="F2"/>
            <w:hideMark/>
          </w:tcPr>
          <w:p w14:paraId="758382E0" w14:textId="77777777" w:rsidR="00E139C5" w:rsidRPr="00E139C5" w:rsidRDefault="00E139C5" w:rsidP="00E139C5">
            <w:pPr>
              <w:spacing w:line="276" w:lineRule="auto"/>
              <w:rPr>
                <w:bCs/>
                <w:szCs w:val="24"/>
              </w:rPr>
            </w:pPr>
            <w:r w:rsidRPr="00E139C5">
              <w:rPr>
                <w:b/>
                <w:bCs/>
                <w:szCs w:val="24"/>
              </w:rPr>
              <w:t>Vlera Prezente Neto Aktuale (VAN)</w:t>
            </w:r>
            <w:r w:rsidRPr="00E139C5">
              <w:rPr>
                <w:bCs/>
                <w:szCs w:val="24"/>
              </w:rPr>
              <w:t xml:space="preserve"> =</w:t>
            </w:r>
            <w:r w:rsidRPr="00E139C5">
              <w:rPr>
                <w:szCs w:val="24"/>
              </w:rPr>
              <w:t xml:space="preserve"> Vlera aktuale e përfitimit në total – Vlera aktuale e kostos në total</w:t>
            </w:r>
          </w:p>
        </w:tc>
        <w:tc>
          <w:tcPr>
            <w:tcW w:w="1350" w:type="dxa"/>
            <w:tcBorders>
              <w:right w:val="single" w:sz="4" w:space="0" w:color="auto"/>
            </w:tcBorders>
            <w:shd w:val="clear" w:color="auto" w:fill="F2F2F2" w:themeFill="background1" w:themeFillShade="F2"/>
            <w:hideMark/>
          </w:tcPr>
          <w:p w14:paraId="5140BEFD" w14:textId="0AC3A39E" w:rsidR="00E139C5" w:rsidRPr="00E139C5" w:rsidRDefault="00E139C5" w:rsidP="00E139C5">
            <w:pPr>
              <w:spacing w:line="276" w:lineRule="auto"/>
              <w:ind w:left="-108" w:firstLine="108"/>
              <w:jc w:val="right"/>
              <w:rPr>
                <w:bCs/>
                <w:szCs w:val="24"/>
              </w:rPr>
            </w:pPr>
          </w:p>
        </w:tc>
        <w:tc>
          <w:tcPr>
            <w:tcW w:w="10620" w:type="dxa"/>
            <w:gridSpan w:val="9"/>
            <w:tcBorders>
              <w:top w:val="nil"/>
              <w:left w:val="single" w:sz="4" w:space="0" w:color="auto"/>
              <w:bottom w:val="nil"/>
              <w:right w:val="nil"/>
            </w:tcBorders>
            <w:hideMark/>
          </w:tcPr>
          <w:p w14:paraId="3BEBD43D" w14:textId="77777777" w:rsidR="00E139C5" w:rsidRPr="00E139C5" w:rsidRDefault="00E139C5" w:rsidP="00E139C5">
            <w:pPr>
              <w:spacing w:line="276" w:lineRule="auto"/>
              <w:ind w:left="-108" w:firstLine="108"/>
              <w:jc w:val="right"/>
              <w:rPr>
                <w:szCs w:val="24"/>
              </w:rPr>
            </w:pPr>
            <w:r w:rsidRPr="00E139C5">
              <w:rPr>
                <w:szCs w:val="24"/>
              </w:rPr>
              <w:t> </w:t>
            </w:r>
          </w:p>
        </w:tc>
      </w:tr>
    </w:tbl>
    <w:p w14:paraId="06A1E76E" w14:textId="479552E3" w:rsidR="00225F7F" w:rsidRDefault="009F625C"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p>
    <w:p w14:paraId="0547D548" w14:textId="62E858C2"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2FCDCCBA" w14:textId="77777777" w:rsidR="002125B7" w:rsidRPr="00325A1F" w:rsidRDefault="002125B7" w:rsidP="009D13F4">
      <w:pPr>
        <w:spacing w:line="276" w:lineRule="auto"/>
        <w:rPr>
          <w:rStyle w:val="Strong"/>
          <w:b w:val="0"/>
          <w:szCs w:val="24"/>
          <w:lang w:val="sq-AL"/>
        </w:rPr>
      </w:pPr>
    </w:p>
    <w:p w14:paraId="0533BD70" w14:textId="7777777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14:paraId="16797BDF" w14:textId="77777777" w:rsidTr="001E3B6F">
        <w:tc>
          <w:tcPr>
            <w:tcW w:w="1698" w:type="dxa"/>
          </w:tcPr>
          <w:p w14:paraId="77B8D276"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086EE704" w14:textId="44AF1CD2"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14:paraId="21A13888" w14:textId="6E0B6F6C"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41027619" w14:textId="26A0988A"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14:paraId="49EF5D0E" w14:textId="77777777" w:rsidTr="001E3B6F">
        <w:tc>
          <w:tcPr>
            <w:tcW w:w="1698" w:type="dxa"/>
          </w:tcPr>
          <w:p w14:paraId="4D91C4DF" w14:textId="77777777"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6C3A74F4" w14:textId="406BD911" w:rsidR="002125B7" w:rsidRPr="00325A1F" w:rsidRDefault="003A12EA" w:rsidP="009D13F4">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14:paraId="19A59B98" w14:textId="5E25B398"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14:paraId="014EDFE1" w14:textId="22388D5D"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14:paraId="121F672F" w14:textId="75C7C7B1" w:rsidR="00B6156C" w:rsidRPr="00325A1F" w:rsidRDefault="00B6156C" w:rsidP="009D13F4">
      <w:pPr>
        <w:spacing w:line="276" w:lineRule="auto"/>
        <w:rPr>
          <w:b/>
          <w:szCs w:val="24"/>
          <w:lang w:val="sq-AL"/>
        </w:rPr>
      </w:pPr>
    </w:p>
    <w:p w14:paraId="64319FE7" w14:textId="77777777" w:rsidR="002125B7" w:rsidRPr="00325A1F" w:rsidRDefault="002125B7" w:rsidP="009D13F4">
      <w:pPr>
        <w:spacing w:line="276" w:lineRule="auto"/>
        <w:rPr>
          <w:b/>
          <w:szCs w:val="24"/>
          <w:lang w:val="sq-AL"/>
        </w:rPr>
      </w:pPr>
    </w:p>
    <w:p w14:paraId="5ED05594" w14:textId="77777777" w:rsidR="002125B7" w:rsidRPr="00325A1F" w:rsidRDefault="002125B7" w:rsidP="009D13F4">
      <w:pPr>
        <w:spacing w:line="276" w:lineRule="auto"/>
        <w:jc w:val="center"/>
        <w:rPr>
          <w:b/>
          <w:szCs w:val="24"/>
          <w:lang w:val="sq-AL"/>
        </w:rPr>
      </w:pPr>
      <w:r w:rsidRPr="00325A1F">
        <w:rPr>
          <w:b/>
          <w:szCs w:val="24"/>
          <w:lang w:val="sq-AL"/>
        </w:rPr>
        <w:t>MINISTËR</w:t>
      </w:r>
    </w:p>
    <w:p w14:paraId="797007D9" w14:textId="77777777" w:rsidR="002125B7" w:rsidRPr="00325A1F" w:rsidRDefault="002125B7" w:rsidP="009D13F4">
      <w:pPr>
        <w:spacing w:line="276" w:lineRule="auto"/>
        <w:jc w:val="center"/>
        <w:rPr>
          <w:b/>
          <w:szCs w:val="24"/>
          <w:lang w:val="sq-AL"/>
        </w:rPr>
      </w:pPr>
    </w:p>
    <w:p w14:paraId="7B3BD6A0" w14:textId="72CF54C8" w:rsidR="005B47AA" w:rsidRPr="00325A1F" w:rsidRDefault="003A12EA" w:rsidP="009D13F4">
      <w:pPr>
        <w:spacing w:line="276" w:lineRule="auto"/>
        <w:jc w:val="center"/>
        <w:rPr>
          <w:b/>
          <w:szCs w:val="24"/>
          <w:lang w:val="sq-AL"/>
        </w:rPr>
      </w:pPr>
      <w:r w:rsidRPr="003A12EA">
        <w:rPr>
          <w:color w:val="808080" w:themeColor="background1" w:themeShade="80"/>
          <w:szCs w:val="24"/>
        </w:rPr>
        <w:fldChar w:fldCharType="begin">
          <w:ffData>
            <w:name w:val="EmriMinistri"/>
            <w:enabled/>
            <w:calcOnExit/>
            <w:textInput>
              <w:default w:val="[Emri"/>
              <w:maxLength w:val="15"/>
              <w:format w:val="First capital"/>
            </w:textInput>
          </w:ffData>
        </w:fldChar>
      </w:r>
      <w:bookmarkStart w:id="17" w:name="EmriMinistri"/>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[Emri</w:t>
      </w:r>
      <w:r w:rsidRPr="003A12EA">
        <w:rPr>
          <w:color w:val="808080" w:themeColor="background1" w:themeShade="80"/>
          <w:szCs w:val="24"/>
        </w:rPr>
        <w:fldChar w:fldCharType="end"/>
      </w:r>
      <w:bookmarkEnd w:id="17"/>
      <w:r w:rsidR="005B47AA" w:rsidRPr="00325A1F">
        <w:rPr>
          <w:szCs w:val="24"/>
          <w:lang w:val="sq-AL"/>
        </w:rPr>
        <w:t xml:space="preserve"> </w:t>
      </w:r>
      <w:r w:rsidRPr="003A12EA">
        <w:rPr>
          <w:color w:val="808080" w:themeColor="background1" w:themeShade="80"/>
          <w:szCs w:val="24"/>
        </w:rPr>
        <w:fldChar w:fldCharType="begin">
          <w:ffData>
            <w:name w:val="MbiermiM"/>
            <w:enabled/>
            <w:calcOnExit/>
            <w:textInput>
              <w:default w:val="Mbiemri]"/>
              <w:maxLength w:val="15"/>
              <w:format w:val="First capital"/>
            </w:textInput>
          </w:ffData>
        </w:fldChar>
      </w:r>
      <w:bookmarkStart w:id="18" w:name="MbiermiM"/>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Mbiemri]</w:t>
      </w:r>
      <w:r w:rsidRPr="003A12EA">
        <w:rPr>
          <w:color w:val="808080" w:themeColor="background1" w:themeShade="80"/>
          <w:szCs w:val="24"/>
        </w:rPr>
        <w:fldChar w:fldCharType="end"/>
      </w:r>
      <w:bookmarkEnd w:id="18"/>
    </w:p>
    <w:p w14:paraId="69F4B01F" w14:textId="77777777" w:rsidR="002125B7" w:rsidRPr="00325A1F" w:rsidRDefault="002125B7" w:rsidP="009D13F4">
      <w:pPr>
        <w:spacing w:line="276" w:lineRule="auto"/>
        <w:rPr>
          <w:rFonts w:eastAsia="SimSun"/>
          <w:szCs w:val="24"/>
          <w:lang w:eastAsia="zh-CN"/>
        </w:rPr>
      </w:pPr>
    </w:p>
    <w:p w14:paraId="103E0151" w14:textId="41FFAFE3" w:rsidR="002125B7" w:rsidRPr="00325A1F" w:rsidRDefault="002125B7" w:rsidP="009D13F4">
      <w:pPr>
        <w:pStyle w:val="IASpacer"/>
        <w:spacing w:line="276" w:lineRule="auto"/>
        <w:rPr>
          <w:sz w:val="24"/>
          <w:szCs w:val="24"/>
        </w:rPr>
      </w:pPr>
    </w:p>
    <w:p w14:paraId="348B1F51" w14:textId="7488D7EE"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C8FC" w14:textId="77777777" w:rsidR="00C278E6" w:rsidRDefault="00C278E6">
      <w:r>
        <w:separator/>
      </w:r>
    </w:p>
  </w:endnote>
  <w:endnote w:type="continuationSeparator" w:id="0">
    <w:p w14:paraId="1C34FAF8" w14:textId="77777777" w:rsidR="00C278E6" w:rsidRDefault="00C2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0DF" w14:textId="0B20FA36" w:rsidR="00A66663" w:rsidRPr="00EB43FD" w:rsidRDefault="00A6666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965DE0">
      <w:rPr>
        <w:rStyle w:val="PageNumber"/>
        <w:b w:val="0"/>
        <w:noProof/>
        <w:szCs w:val="18"/>
      </w:rPr>
      <w:t>1</w:t>
    </w:r>
    <w:r w:rsidRPr="00EB43FD">
      <w:rPr>
        <w:rStyle w:val="PageNumber"/>
        <w:b w:val="0"/>
        <w:szCs w:val="18"/>
      </w:rPr>
      <w:fldChar w:fldCharType="end"/>
    </w:r>
  </w:p>
  <w:p w14:paraId="7FCE54BD" w14:textId="77777777" w:rsidR="00A66663" w:rsidRDefault="00A66663"/>
  <w:p w14:paraId="2995CCAD" w14:textId="77777777" w:rsidR="00A66663" w:rsidRDefault="00A666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15F4" w14:textId="77777777" w:rsidR="00C278E6" w:rsidRDefault="00C278E6">
      <w:r>
        <w:separator/>
      </w:r>
    </w:p>
  </w:footnote>
  <w:footnote w:type="continuationSeparator" w:id="0">
    <w:p w14:paraId="0A17ED83" w14:textId="77777777" w:rsidR="00C278E6" w:rsidRDefault="00C27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60" w14:textId="77777777" w:rsidR="00A66663" w:rsidRDefault="00A66663"/>
  <w:p w14:paraId="13C35FD1" w14:textId="77777777" w:rsidR="00A66663" w:rsidRDefault="00A66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6160C"/>
    <w:multiLevelType w:val="hybridMultilevel"/>
    <w:tmpl w:val="FB5C80E2"/>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14" w15:restartNumberingAfterBreak="0">
    <w:nsid w:val="08CE7FCA"/>
    <w:multiLevelType w:val="hybridMultilevel"/>
    <w:tmpl w:val="6AF47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77C17"/>
    <w:multiLevelType w:val="hybridMultilevel"/>
    <w:tmpl w:val="B41046AE"/>
    <w:lvl w:ilvl="0" w:tplc="0409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16" w15:restartNumberingAfterBreak="0">
    <w:nsid w:val="149247CE"/>
    <w:multiLevelType w:val="hybridMultilevel"/>
    <w:tmpl w:val="F81849CE"/>
    <w:lvl w:ilvl="0" w:tplc="0409000B">
      <w:start w:val="1"/>
      <w:numFmt w:val="bullet"/>
      <w:lvlText w:val=""/>
      <w:lvlJc w:val="left"/>
      <w:pPr>
        <w:ind w:left="721" w:hanging="360"/>
      </w:pPr>
      <w:rPr>
        <w:rFonts w:ascii="Wingdings" w:hAnsi="Wingdings" w:hint="default"/>
      </w:rPr>
    </w:lvl>
    <w:lvl w:ilvl="1" w:tplc="041C0003">
      <w:start w:val="1"/>
      <w:numFmt w:val="bullet"/>
      <w:lvlText w:val="o"/>
      <w:lvlJc w:val="left"/>
      <w:pPr>
        <w:ind w:left="1441" w:hanging="360"/>
      </w:pPr>
      <w:rPr>
        <w:rFonts w:ascii="Courier New" w:hAnsi="Courier New" w:cs="Courier New" w:hint="default"/>
      </w:rPr>
    </w:lvl>
    <w:lvl w:ilvl="2" w:tplc="041C0005">
      <w:start w:val="1"/>
      <w:numFmt w:val="bullet"/>
      <w:lvlText w:val=""/>
      <w:lvlJc w:val="left"/>
      <w:pPr>
        <w:ind w:left="2161" w:hanging="360"/>
      </w:pPr>
      <w:rPr>
        <w:rFonts w:ascii="Wingdings" w:hAnsi="Wingdings" w:hint="default"/>
      </w:rPr>
    </w:lvl>
    <w:lvl w:ilvl="3" w:tplc="041C0001">
      <w:start w:val="1"/>
      <w:numFmt w:val="bullet"/>
      <w:lvlText w:val=""/>
      <w:lvlJc w:val="left"/>
      <w:pPr>
        <w:ind w:left="2881" w:hanging="360"/>
      </w:pPr>
      <w:rPr>
        <w:rFonts w:ascii="Symbol" w:hAnsi="Symbol" w:hint="default"/>
      </w:rPr>
    </w:lvl>
    <w:lvl w:ilvl="4" w:tplc="041C0003">
      <w:start w:val="1"/>
      <w:numFmt w:val="bullet"/>
      <w:lvlText w:val="o"/>
      <w:lvlJc w:val="left"/>
      <w:pPr>
        <w:ind w:left="3601" w:hanging="360"/>
      </w:pPr>
      <w:rPr>
        <w:rFonts w:ascii="Courier New" w:hAnsi="Courier New" w:cs="Courier New" w:hint="default"/>
      </w:rPr>
    </w:lvl>
    <w:lvl w:ilvl="5" w:tplc="041C0005">
      <w:start w:val="1"/>
      <w:numFmt w:val="bullet"/>
      <w:lvlText w:val=""/>
      <w:lvlJc w:val="left"/>
      <w:pPr>
        <w:ind w:left="4321" w:hanging="360"/>
      </w:pPr>
      <w:rPr>
        <w:rFonts w:ascii="Wingdings" w:hAnsi="Wingdings" w:hint="default"/>
      </w:rPr>
    </w:lvl>
    <w:lvl w:ilvl="6" w:tplc="041C0001">
      <w:start w:val="1"/>
      <w:numFmt w:val="bullet"/>
      <w:lvlText w:val=""/>
      <w:lvlJc w:val="left"/>
      <w:pPr>
        <w:ind w:left="5041" w:hanging="360"/>
      </w:pPr>
      <w:rPr>
        <w:rFonts w:ascii="Symbol" w:hAnsi="Symbol" w:hint="default"/>
      </w:rPr>
    </w:lvl>
    <w:lvl w:ilvl="7" w:tplc="041C0003">
      <w:start w:val="1"/>
      <w:numFmt w:val="bullet"/>
      <w:lvlText w:val="o"/>
      <w:lvlJc w:val="left"/>
      <w:pPr>
        <w:ind w:left="5761" w:hanging="360"/>
      </w:pPr>
      <w:rPr>
        <w:rFonts w:ascii="Courier New" w:hAnsi="Courier New" w:cs="Courier New" w:hint="default"/>
      </w:rPr>
    </w:lvl>
    <w:lvl w:ilvl="8" w:tplc="041C0005">
      <w:start w:val="1"/>
      <w:numFmt w:val="bullet"/>
      <w:lvlText w:val=""/>
      <w:lvlJc w:val="left"/>
      <w:pPr>
        <w:ind w:left="6481" w:hanging="360"/>
      </w:pPr>
      <w:rPr>
        <w:rFonts w:ascii="Wingdings" w:hAnsi="Wingdings" w:hint="default"/>
      </w:rPr>
    </w:lvl>
  </w:abstractNum>
  <w:abstractNum w:abstractNumId="17"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AA67563"/>
    <w:multiLevelType w:val="hybridMultilevel"/>
    <w:tmpl w:val="65DCFF4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205F1294"/>
    <w:multiLevelType w:val="hybridMultilevel"/>
    <w:tmpl w:val="BB2C31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E58782F"/>
    <w:multiLevelType w:val="hybridMultilevel"/>
    <w:tmpl w:val="DA5E04F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42523"/>
    <w:multiLevelType w:val="hybridMultilevel"/>
    <w:tmpl w:val="E3188EA0"/>
    <w:lvl w:ilvl="0" w:tplc="0409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2" w15:restartNumberingAfterBreak="0">
    <w:nsid w:val="5E8C7944"/>
    <w:multiLevelType w:val="hybridMultilevel"/>
    <w:tmpl w:val="B3D0AEE6"/>
    <w:lvl w:ilvl="0" w:tplc="27D8E662">
      <w:start w:val="1"/>
      <w:numFmt w:val="decimal"/>
      <w:lvlText w:val="%1."/>
      <w:lvlJc w:val="left"/>
      <w:pPr>
        <w:ind w:left="720" w:hanging="360"/>
      </w:pPr>
      <w:rPr>
        <w:rFonts w:ascii="Times New Roman" w:hAnsi="Times New Roman" w:cs="Times New Roman" w:hint="default"/>
        <w:b w:val="0"/>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63905B10"/>
    <w:multiLevelType w:val="hybridMultilevel"/>
    <w:tmpl w:val="8DDC95A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5" w15:restartNumberingAfterBreak="0">
    <w:nsid w:val="75E6492D"/>
    <w:multiLevelType w:val="hybridMultilevel"/>
    <w:tmpl w:val="3154F50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4"/>
  </w:num>
  <w:num w:numId="13">
    <w:abstractNumId w:val="10"/>
  </w:num>
  <w:num w:numId="14">
    <w:abstractNumId w:val="25"/>
  </w:num>
  <w:num w:numId="15">
    <w:abstractNumId w:val="22"/>
  </w:num>
  <w:num w:numId="16">
    <w:abstractNumId w:val="18"/>
  </w:num>
  <w:num w:numId="17">
    <w:abstractNumId w:val="22"/>
  </w:num>
  <w:num w:numId="18">
    <w:abstractNumId w:val="37"/>
  </w:num>
  <w:num w:numId="19">
    <w:abstractNumId w:val="37"/>
  </w:num>
  <w:num w:numId="20">
    <w:abstractNumId w:val="37"/>
  </w:num>
  <w:num w:numId="21">
    <w:abstractNumId w:val="22"/>
  </w:num>
  <w:num w:numId="22">
    <w:abstractNumId w:val="26"/>
  </w:num>
  <w:num w:numId="23">
    <w:abstractNumId w:val="29"/>
  </w:num>
  <w:num w:numId="24">
    <w:abstractNumId w:val="28"/>
  </w:num>
  <w:num w:numId="25">
    <w:abstractNumId w:val="36"/>
  </w:num>
  <w:num w:numId="26">
    <w:abstractNumId w:val="11"/>
  </w:num>
  <w:num w:numId="27">
    <w:abstractNumId w:val="21"/>
  </w:num>
  <w:num w:numId="28">
    <w:abstractNumId w:val="24"/>
  </w:num>
  <w:num w:numId="29">
    <w:abstractNumId w:val="30"/>
  </w:num>
  <w:num w:numId="30">
    <w:abstractNumId w:val="17"/>
  </w:num>
  <w:num w:numId="31">
    <w:abstractNumId w:val="23"/>
  </w:num>
  <w:num w:numId="32">
    <w:abstractNumId w:val="12"/>
  </w:num>
  <w:num w:numId="33">
    <w:abstractNumId w:val="14"/>
  </w:num>
  <w:num w:numId="34">
    <w:abstractNumId w:val="32"/>
  </w:num>
  <w:num w:numId="35">
    <w:abstractNumId w:val="35"/>
  </w:num>
  <w:num w:numId="36">
    <w:abstractNumId w:val="19"/>
  </w:num>
  <w:num w:numId="37">
    <w:abstractNumId w:val="20"/>
  </w:num>
  <w:num w:numId="38">
    <w:abstractNumId w:val="27"/>
  </w:num>
  <w:num w:numId="39">
    <w:abstractNumId w:val="33"/>
  </w:num>
  <w:num w:numId="40">
    <w:abstractNumId w:val="15"/>
  </w:num>
  <w:num w:numId="41">
    <w:abstractNumId w:val="13"/>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203D7"/>
    <w:rsid w:val="00021306"/>
    <w:rsid w:val="000222F1"/>
    <w:rsid w:val="00022BE0"/>
    <w:rsid w:val="00022F52"/>
    <w:rsid w:val="00023080"/>
    <w:rsid w:val="0002370C"/>
    <w:rsid w:val="000239A7"/>
    <w:rsid w:val="00023E62"/>
    <w:rsid w:val="000251D0"/>
    <w:rsid w:val="00025CC4"/>
    <w:rsid w:val="00026555"/>
    <w:rsid w:val="00026AC0"/>
    <w:rsid w:val="00027038"/>
    <w:rsid w:val="00032F0D"/>
    <w:rsid w:val="0003786D"/>
    <w:rsid w:val="0004016B"/>
    <w:rsid w:val="000407D8"/>
    <w:rsid w:val="00041EA0"/>
    <w:rsid w:val="00044FE7"/>
    <w:rsid w:val="00045828"/>
    <w:rsid w:val="00045BAD"/>
    <w:rsid w:val="00051403"/>
    <w:rsid w:val="00052F44"/>
    <w:rsid w:val="0005543F"/>
    <w:rsid w:val="00056B7A"/>
    <w:rsid w:val="00056EE6"/>
    <w:rsid w:val="00057DD4"/>
    <w:rsid w:val="0006047F"/>
    <w:rsid w:val="0006053F"/>
    <w:rsid w:val="00061D9C"/>
    <w:rsid w:val="00063FFC"/>
    <w:rsid w:val="00064970"/>
    <w:rsid w:val="000671A2"/>
    <w:rsid w:val="000705A0"/>
    <w:rsid w:val="00070EEB"/>
    <w:rsid w:val="00071110"/>
    <w:rsid w:val="00071299"/>
    <w:rsid w:val="00072272"/>
    <w:rsid w:val="0007325E"/>
    <w:rsid w:val="0007524C"/>
    <w:rsid w:val="0007532E"/>
    <w:rsid w:val="0007637D"/>
    <w:rsid w:val="000767AC"/>
    <w:rsid w:val="0007695E"/>
    <w:rsid w:val="00076A78"/>
    <w:rsid w:val="00076C08"/>
    <w:rsid w:val="00082659"/>
    <w:rsid w:val="00082B2E"/>
    <w:rsid w:val="00082BAC"/>
    <w:rsid w:val="000860CC"/>
    <w:rsid w:val="00086128"/>
    <w:rsid w:val="0008731F"/>
    <w:rsid w:val="0009308C"/>
    <w:rsid w:val="00093598"/>
    <w:rsid w:val="0009381F"/>
    <w:rsid w:val="00094680"/>
    <w:rsid w:val="000956FD"/>
    <w:rsid w:val="000A107B"/>
    <w:rsid w:val="000A36EE"/>
    <w:rsid w:val="000A5C5D"/>
    <w:rsid w:val="000A6E4B"/>
    <w:rsid w:val="000A79FC"/>
    <w:rsid w:val="000B07A1"/>
    <w:rsid w:val="000B1176"/>
    <w:rsid w:val="000B1A2E"/>
    <w:rsid w:val="000B3E49"/>
    <w:rsid w:val="000B6C3E"/>
    <w:rsid w:val="000C031E"/>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2DF8"/>
    <w:rsid w:val="000E3308"/>
    <w:rsid w:val="000E3FD7"/>
    <w:rsid w:val="000E452D"/>
    <w:rsid w:val="000F004E"/>
    <w:rsid w:val="000F0840"/>
    <w:rsid w:val="000F37BB"/>
    <w:rsid w:val="000F4481"/>
    <w:rsid w:val="000F5100"/>
    <w:rsid w:val="000F57BB"/>
    <w:rsid w:val="00101961"/>
    <w:rsid w:val="00102870"/>
    <w:rsid w:val="00106246"/>
    <w:rsid w:val="00110396"/>
    <w:rsid w:val="001110DB"/>
    <w:rsid w:val="00115D70"/>
    <w:rsid w:val="00115D74"/>
    <w:rsid w:val="00116CE4"/>
    <w:rsid w:val="00120113"/>
    <w:rsid w:val="001235DD"/>
    <w:rsid w:val="0012369A"/>
    <w:rsid w:val="001243CD"/>
    <w:rsid w:val="0012460B"/>
    <w:rsid w:val="00126A80"/>
    <w:rsid w:val="00127373"/>
    <w:rsid w:val="0013023A"/>
    <w:rsid w:val="00131CE4"/>
    <w:rsid w:val="00133A17"/>
    <w:rsid w:val="00133C58"/>
    <w:rsid w:val="00134EA8"/>
    <w:rsid w:val="00135A55"/>
    <w:rsid w:val="001365F4"/>
    <w:rsid w:val="0013740D"/>
    <w:rsid w:val="0014140D"/>
    <w:rsid w:val="00141B6F"/>
    <w:rsid w:val="0014336D"/>
    <w:rsid w:val="001477D1"/>
    <w:rsid w:val="00150DAE"/>
    <w:rsid w:val="0015254E"/>
    <w:rsid w:val="00152C60"/>
    <w:rsid w:val="001535F3"/>
    <w:rsid w:val="00153FF4"/>
    <w:rsid w:val="00156E0C"/>
    <w:rsid w:val="00160691"/>
    <w:rsid w:val="00163468"/>
    <w:rsid w:val="00165113"/>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2E84"/>
    <w:rsid w:val="00194050"/>
    <w:rsid w:val="00194745"/>
    <w:rsid w:val="00194E96"/>
    <w:rsid w:val="00196CDF"/>
    <w:rsid w:val="001A07F1"/>
    <w:rsid w:val="001A2F3F"/>
    <w:rsid w:val="001A3354"/>
    <w:rsid w:val="001A3B0B"/>
    <w:rsid w:val="001A4332"/>
    <w:rsid w:val="001A4432"/>
    <w:rsid w:val="001A478E"/>
    <w:rsid w:val="001A509E"/>
    <w:rsid w:val="001A6FE6"/>
    <w:rsid w:val="001A7B61"/>
    <w:rsid w:val="001A7D6D"/>
    <w:rsid w:val="001B1210"/>
    <w:rsid w:val="001B2F84"/>
    <w:rsid w:val="001B305C"/>
    <w:rsid w:val="001B34EB"/>
    <w:rsid w:val="001C0644"/>
    <w:rsid w:val="001C0B58"/>
    <w:rsid w:val="001C1F39"/>
    <w:rsid w:val="001C3363"/>
    <w:rsid w:val="001C4862"/>
    <w:rsid w:val="001C7C39"/>
    <w:rsid w:val="001D09CC"/>
    <w:rsid w:val="001D0AF4"/>
    <w:rsid w:val="001D12D6"/>
    <w:rsid w:val="001D1FC0"/>
    <w:rsid w:val="001D2096"/>
    <w:rsid w:val="001D3A43"/>
    <w:rsid w:val="001D3C11"/>
    <w:rsid w:val="001D4936"/>
    <w:rsid w:val="001D4AA8"/>
    <w:rsid w:val="001D4D42"/>
    <w:rsid w:val="001D51BC"/>
    <w:rsid w:val="001D5EC9"/>
    <w:rsid w:val="001D6B90"/>
    <w:rsid w:val="001E0D36"/>
    <w:rsid w:val="001E152A"/>
    <w:rsid w:val="001E1DA0"/>
    <w:rsid w:val="001E3B6F"/>
    <w:rsid w:val="001E429F"/>
    <w:rsid w:val="001E69A2"/>
    <w:rsid w:val="001F02C1"/>
    <w:rsid w:val="001F4352"/>
    <w:rsid w:val="001F4493"/>
    <w:rsid w:val="001F5423"/>
    <w:rsid w:val="001F5DD9"/>
    <w:rsid w:val="001F69E9"/>
    <w:rsid w:val="001F6D51"/>
    <w:rsid w:val="001F71C9"/>
    <w:rsid w:val="001F7CF8"/>
    <w:rsid w:val="00200315"/>
    <w:rsid w:val="0020104C"/>
    <w:rsid w:val="0020151D"/>
    <w:rsid w:val="002018E4"/>
    <w:rsid w:val="00201B79"/>
    <w:rsid w:val="00202E56"/>
    <w:rsid w:val="002033D6"/>
    <w:rsid w:val="00203758"/>
    <w:rsid w:val="00204AB1"/>
    <w:rsid w:val="00205E05"/>
    <w:rsid w:val="0020708B"/>
    <w:rsid w:val="00207B21"/>
    <w:rsid w:val="00207D2A"/>
    <w:rsid w:val="00211257"/>
    <w:rsid w:val="002125B7"/>
    <w:rsid w:val="002132D8"/>
    <w:rsid w:val="002144F0"/>
    <w:rsid w:val="00216F02"/>
    <w:rsid w:val="0021731F"/>
    <w:rsid w:val="00217CA1"/>
    <w:rsid w:val="00220F29"/>
    <w:rsid w:val="00221FAD"/>
    <w:rsid w:val="0022350E"/>
    <w:rsid w:val="0022433C"/>
    <w:rsid w:val="0022490F"/>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578B9"/>
    <w:rsid w:val="0026191F"/>
    <w:rsid w:val="00262437"/>
    <w:rsid w:val="00265153"/>
    <w:rsid w:val="0026604F"/>
    <w:rsid w:val="002718D6"/>
    <w:rsid w:val="00272539"/>
    <w:rsid w:val="00272F62"/>
    <w:rsid w:val="00272FA0"/>
    <w:rsid w:val="00273A3C"/>
    <w:rsid w:val="0028154F"/>
    <w:rsid w:val="00281E7E"/>
    <w:rsid w:val="00282D56"/>
    <w:rsid w:val="00282EFA"/>
    <w:rsid w:val="002837FC"/>
    <w:rsid w:val="00284C30"/>
    <w:rsid w:val="00286282"/>
    <w:rsid w:val="0028755A"/>
    <w:rsid w:val="00287BA8"/>
    <w:rsid w:val="00287DF9"/>
    <w:rsid w:val="00290335"/>
    <w:rsid w:val="0029158C"/>
    <w:rsid w:val="00295FCB"/>
    <w:rsid w:val="002A06DA"/>
    <w:rsid w:val="002A33A0"/>
    <w:rsid w:val="002A456F"/>
    <w:rsid w:val="002A66D3"/>
    <w:rsid w:val="002A6A33"/>
    <w:rsid w:val="002A6E2B"/>
    <w:rsid w:val="002B2572"/>
    <w:rsid w:val="002B4D79"/>
    <w:rsid w:val="002B4E07"/>
    <w:rsid w:val="002B55BA"/>
    <w:rsid w:val="002B7335"/>
    <w:rsid w:val="002B77F5"/>
    <w:rsid w:val="002C0E53"/>
    <w:rsid w:val="002C1D0C"/>
    <w:rsid w:val="002C1EC2"/>
    <w:rsid w:val="002C2BD6"/>
    <w:rsid w:val="002C331D"/>
    <w:rsid w:val="002C5BE9"/>
    <w:rsid w:val="002C76CF"/>
    <w:rsid w:val="002D1AE9"/>
    <w:rsid w:val="002D2D7E"/>
    <w:rsid w:val="002D3103"/>
    <w:rsid w:val="002D4104"/>
    <w:rsid w:val="002D4177"/>
    <w:rsid w:val="002D548B"/>
    <w:rsid w:val="002D66B1"/>
    <w:rsid w:val="002D68F9"/>
    <w:rsid w:val="002D7616"/>
    <w:rsid w:val="002D7ECF"/>
    <w:rsid w:val="002E1C94"/>
    <w:rsid w:val="002E46DE"/>
    <w:rsid w:val="002E5406"/>
    <w:rsid w:val="002E55E8"/>
    <w:rsid w:val="002E6BBE"/>
    <w:rsid w:val="002E753B"/>
    <w:rsid w:val="002E78D7"/>
    <w:rsid w:val="002F1CB1"/>
    <w:rsid w:val="002F3633"/>
    <w:rsid w:val="002F5B67"/>
    <w:rsid w:val="002F653C"/>
    <w:rsid w:val="002F7D4C"/>
    <w:rsid w:val="00300CED"/>
    <w:rsid w:val="00300D77"/>
    <w:rsid w:val="003030E1"/>
    <w:rsid w:val="00304677"/>
    <w:rsid w:val="00304C1D"/>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3107"/>
    <w:rsid w:val="00323C5A"/>
    <w:rsid w:val="00324383"/>
    <w:rsid w:val="00324485"/>
    <w:rsid w:val="00325A1F"/>
    <w:rsid w:val="00331DCE"/>
    <w:rsid w:val="00332055"/>
    <w:rsid w:val="00332280"/>
    <w:rsid w:val="003323DB"/>
    <w:rsid w:val="00332B05"/>
    <w:rsid w:val="003330C7"/>
    <w:rsid w:val="00335C9A"/>
    <w:rsid w:val="003409BF"/>
    <w:rsid w:val="00341944"/>
    <w:rsid w:val="00345525"/>
    <w:rsid w:val="0034629D"/>
    <w:rsid w:val="00346FE5"/>
    <w:rsid w:val="00347039"/>
    <w:rsid w:val="00351302"/>
    <w:rsid w:val="00351676"/>
    <w:rsid w:val="00355E73"/>
    <w:rsid w:val="00356841"/>
    <w:rsid w:val="00357DAD"/>
    <w:rsid w:val="00360850"/>
    <w:rsid w:val="0036228F"/>
    <w:rsid w:val="003640B6"/>
    <w:rsid w:val="00364715"/>
    <w:rsid w:val="00365687"/>
    <w:rsid w:val="003657AB"/>
    <w:rsid w:val="00367FAB"/>
    <w:rsid w:val="003709CB"/>
    <w:rsid w:val="00370A03"/>
    <w:rsid w:val="00372979"/>
    <w:rsid w:val="00372A69"/>
    <w:rsid w:val="00376491"/>
    <w:rsid w:val="00380189"/>
    <w:rsid w:val="00380A15"/>
    <w:rsid w:val="00381107"/>
    <w:rsid w:val="00381308"/>
    <w:rsid w:val="003818E8"/>
    <w:rsid w:val="00383295"/>
    <w:rsid w:val="003848EF"/>
    <w:rsid w:val="00384905"/>
    <w:rsid w:val="0038498D"/>
    <w:rsid w:val="0038580A"/>
    <w:rsid w:val="00385BF8"/>
    <w:rsid w:val="00386560"/>
    <w:rsid w:val="003946A1"/>
    <w:rsid w:val="00395DFD"/>
    <w:rsid w:val="00395F95"/>
    <w:rsid w:val="00396C1A"/>
    <w:rsid w:val="003972F5"/>
    <w:rsid w:val="003A12B1"/>
    <w:rsid w:val="003A12EA"/>
    <w:rsid w:val="003A151C"/>
    <w:rsid w:val="003A1D11"/>
    <w:rsid w:val="003A53C5"/>
    <w:rsid w:val="003A5EEC"/>
    <w:rsid w:val="003A6079"/>
    <w:rsid w:val="003A68AB"/>
    <w:rsid w:val="003A7572"/>
    <w:rsid w:val="003B00FB"/>
    <w:rsid w:val="003B04F0"/>
    <w:rsid w:val="003B1336"/>
    <w:rsid w:val="003B20FC"/>
    <w:rsid w:val="003B30DD"/>
    <w:rsid w:val="003B3E18"/>
    <w:rsid w:val="003B5CBC"/>
    <w:rsid w:val="003B72CF"/>
    <w:rsid w:val="003B78AB"/>
    <w:rsid w:val="003C2DEE"/>
    <w:rsid w:val="003C4286"/>
    <w:rsid w:val="003C536F"/>
    <w:rsid w:val="003C6C81"/>
    <w:rsid w:val="003D11C0"/>
    <w:rsid w:val="003D15FF"/>
    <w:rsid w:val="003D2341"/>
    <w:rsid w:val="003D2D82"/>
    <w:rsid w:val="003D33A3"/>
    <w:rsid w:val="003D572E"/>
    <w:rsid w:val="003D57B2"/>
    <w:rsid w:val="003D6960"/>
    <w:rsid w:val="003D76CC"/>
    <w:rsid w:val="003D77EE"/>
    <w:rsid w:val="003E013A"/>
    <w:rsid w:val="003E0510"/>
    <w:rsid w:val="003E1BBB"/>
    <w:rsid w:val="003E2295"/>
    <w:rsid w:val="003E54B6"/>
    <w:rsid w:val="003E58BD"/>
    <w:rsid w:val="003E5E49"/>
    <w:rsid w:val="003E66BB"/>
    <w:rsid w:val="003E7A4D"/>
    <w:rsid w:val="003F1D29"/>
    <w:rsid w:val="003F1F49"/>
    <w:rsid w:val="003F2FA0"/>
    <w:rsid w:val="003F42A7"/>
    <w:rsid w:val="003F6045"/>
    <w:rsid w:val="003F6081"/>
    <w:rsid w:val="003F71C5"/>
    <w:rsid w:val="004016DE"/>
    <w:rsid w:val="004025DC"/>
    <w:rsid w:val="00402E80"/>
    <w:rsid w:val="004041B8"/>
    <w:rsid w:val="004045D6"/>
    <w:rsid w:val="00405ACA"/>
    <w:rsid w:val="00406B23"/>
    <w:rsid w:val="00415552"/>
    <w:rsid w:val="00416050"/>
    <w:rsid w:val="00417259"/>
    <w:rsid w:val="004175D4"/>
    <w:rsid w:val="004213F0"/>
    <w:rsid w:val="00422225"/>
    <w:rsid w:val="00422963"/>
    <w:rsid w:val="004240A9"/>
    <w:rsid w:val="0042494E"/>
    <w:rsid w:val="00426AB3"/>
    <w:rsid w:val="00430D68"/>
    <w:rsid w:val="00432445"/>
    <w:rsid w:val="00432D12"/>
    <w:rsid w:val="00433533"/>
    <w:rsid w:val="0043446F"/>
    <w:rsid w:val="00435DA5"/>
    <w:rsid w:val="0043683F"/>
    <w:rsid w:val="0044034F"/>
    <w:rsid w:val="004406D1"/>
    <w:rsid w:val="00440A77"/>
    <w:rsid w:val="004422A6"/>
    <w:rsid w:val="00442B33"/>
    <w:rsid w:val="004442E2"/>
    <w:rsid w:val="00444DC8"/>
    <w:rsid w:val="00445634"/>
    <w:rsid w:val="00451E57"/>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7E39"/>
    <w:rsid w:val="004B1880"/>
    <w:rsid w:val="004B3B7B"/>
    <w:rsid w:val="004B4937"/>
    <w:rsid w:val="004B5251"/>
    <w:rsid w:val="004C0DDA"/>
    <w:rsid w:val="004C1BBB"/>
    <w:rsid w:val="004C3CF1"/>
    <w:rsid w:val="004C4C8F"/>
    <w:rsid w:val="004C5754"/>
    <w:rsid w:val="004D0574"/>
    <w:rsid w:val="004D0C7C"/>
    <w:rsid w:val="004D118B"/>
    <w:rsid w:val="004D6A72"/>
    <w:rsid w:val="004E019A"/>
    <w:rsid w:val="004E1174"/>
    <w:rsid w:val="004E242F"/>
    <w:rsid w:val="004E29C6"/>
    <w:rsid w:val="004E3E8F"/>
    <w:rsid w:val="004E4095"/>
    <w:rsid w:val="004E5E6C"/>
    <w:rsid w:val="004E6683"/>
    <w:rsid w:val="004E67A7"/>
    <w:rsid w:val="004F5E43"/>
    <w:rsid w:val="004F7BA3"/>
    <w:rsid w:val="00500698"/>
    <w:rsid w:val="00500C9D"/>
    <w:rsid w:val="0050320B"/>
    <w:rsid w:val="00503C39"/>
    <w:rsid w:val="00506528"/>
    <w:rsid w:val="00507986"/>
    <w:rsid w:val="00510AC6"/>
    <w:rsid w:val="005116B1"/>
    <w:rsid w:val="005157CB"/>
    <w:rsid w:val="00517351"/>
    <w:rsid w:val="00520444"/>
    <w:rsid w:val="005216AE"/>
    <w:rsid w:val="005238F6"/>
    <w:rsid w:val="0052463E"/>
    <w:rsid w:val="005250E6"/>
    <w:rsid w:val="00525511"/>
    <w:rsid w:val="00526B28"/>
    <w:rsid w:val="00527387"/>
    <w:rsid w:val="00527A7D"/>
    <w:rsid w:val="00531A01"/>
    <w:rsid w:val="00533D7B"/>
    <w:rsid w:val="00535433"/>
    <w:rsid w:val="005409C5"/>
    <w:rsid w:val="00540A7C"/>
    <w:rsid w:val="00541B44"/>
    <w:rsid w:val="00544292"/>
    <w:rsid w:val="005448AD"/>
    <w:rsid w:val="005456EC"/>
    <w:rsid w:val="00547154"/>
    <w:rsid w:val="00554795"/>
    <w:rsid w:val="00555234"/>
    <w:rsid w:val="00556DEA"/>
    <w:rsid w:val="00560465"/>
    <w:rsid w:val="0056070C"/>
    <w:rsid w:val="00560972"/>
    <w:rsid w:val="005615AE"/>
    <w:rsid w:val="00562485"/>
    <w:rsid w:val="00563378"/>
    <w:rsid w:val="00563F7B"/>
    <w:rsid w:val="005640A6"/>
    <w:rsid w:val="00564A9A"/>
    <w:rsid w:val="0056664A"/>
    <w:rsid w:val="00570267"/>
    <w:rsid w:val="00570F8E"/>
    <w:rsid w:val="0057145E"/>
    <w:rsid w:val="005719FD"/>
    <w:rsid w:val="00571B06"/>
    <w:rsid w:val="00572118"/>
    <w:rsid w:val="00573359"/>
    <w:rsid w:val="00574A89"/>
    <w:rsid w:val="00575FFA"/>
    <w:rsid w:val="00576F30"/>
    <w:rsid w:val="005770C7"/>
    <w:rsid w:val="00582997"/>
    <w:rsid w:val="00584C71"/>
    <w:rsid w:val="00586CE4"/>
    <w:rsid w:val="00586D82"/>
    <w:rsid w:val="005875FD"/>
    <w:rsid w:val="005879B8"/>
    <w:rsid w:val="00591130"/>
    <w:rsid w:val="0059151C"/>
    <w:rsid w:val="005920A2"/>
    <w:rsid w:val="00593648"/>
    <w:rsid w:val="00594141"/>
    <w:rsid w:val="00594AC6"/>
    <w:rsid w:val="00594F99"/>
    <w:rsid w:val="0059679F"/>
    <w:rsid w:val="00596F19"/>
    <w:rsid w:val="005970B5"/>
    <w:rsid w:val="005978D0"/>
    <w:rsid w:val="005A0026"/>
    <w:rsid w:val="005A0B86"/>
    <w:rsid w:val="005A1B6D"/>
    <w:rsid w:val="005A2FC0"/>
    <w:rsid w:val="005A3880"/>
    <w:rsid w:val="005A66F6"/>
    <w:rsid w:val="005A7A14"/>
    <w:rsid w:val="005B341F"/>
    <w:rsid w:val="005B44D6"/>
    <w:rsid w:val="005B47AA"/>
    <w:rsid w:val="005B5651"/>
    <w:rsid w:val="005B613F"/>
    <w:rsid w:val="005C0E7F"/>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500A"/>
    <w:rsid w:val="005F54D7"/>
    <w:rsid w:val="005F698B"/>
    <w:rsid w:val="00600956"/>
    <w:rsid w:val="00600B77"/>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3F74"/>
    <w:rsid w:val="00624299"/>
    <w:rsid w:val="006243EB"/>
    <w:rsid w:val="00625536"/>
    <w:rsid w:val="00625AC1"/>
    <w:rsid w:val="00626698"/>
    <w:rsid w:val="006267F8"/>
    <w:rsid w:val="00630966"/>
    <w:rsid w:val="00630EC4"/>
    <w:rsid w:val="00630EC9"/>
    <w:rsid w:val="006319D0"/>
    <w:rsid w:val="00631B4C"/>
    <w:rsid w:val="00632522"/>
    <w:rsid w:val="006328B1"/>
    <w:rsid w:val="00632CB9"/>
    <w:rsid w:val="00635BAE"/>
    <w:rsid w:val="00637714"/>
    <w:rsid w:val="00641D5A"/>
    <w:rsid w:val="00642777"/>
    <w:rsid w:val="00643B89"/>
    <w:rsid w:val="00644480"/>
    <w:rsid w:val="00644C50"/>
    <w:rsid w:val="00645936"/>
    <w:rsid w:val="00646433"/>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BBC"/>
    <w:rsid w:val="00684490"/>
    <w:rsid w:val="00685CB3"/>
    <w:rsid w:val="006867B7"/>
    <w:rsid w:val="00686F5E"/>
    <w:rsid w:val="006914EF"/>
    <w:rsid w:val="00692DE8"/>
    <w:rsid w:val="0069403E"/>
    <w:rsid w:val="006945C8"/>
    <w:rsid w:val="006A0557"/>
    <w:rsid w:val="006A0782"/>
    <w:rsid w:val="006A1B09"/>
    <w:rsid w:val="006A2573"/>
    <w:rsid w:val="006A2A2C"/>
    <w:rsid w:val="006A2D92"/>
    <w:rsid w:val="006A56C1"/>
    <w:rsid w:val="006A5A2E"/>
    <w:rsid w:val="006B04D1"/>
    <w:rsid w:val="006B131C"/>
    <w:rsid w:val="006B31C4"/>
    <w:rsid w:val="006B3C41"/>
    <w:rsid w:val="006B4257"/>
    <w:rsid w:val="006B4B0D"/>
    <w:rsid w:val="006B4E05"/>
    <w:rsid w:val="006B70AF"/>
    <w:rsid w:val="006C0521"/>
    <w:rsid w:val="006C17EA"/>
    <w:rsid w:val="006C5CE3"/>
    <w:rsid w:val="006C6483"/>
    <w:rsid w:val="006C7426"/>
    <w:rsid w:val="006D1474"/>
    <w:rsid w:val="006D1F7D"/>
    <w:rsid w:val="006D29CD"/>
    <w:rsid w:val="006D2BE3"/>
    <w:rsid w:val="006D2BEB"/>
    <w:rsid w:val="006D2BF3"/>
    <w:rsid w:val="006D37CF"/>
    <w:rsid w:val="006D3DCE"/>
    <w:rsid w:val="006D4F7D"/>
    <w:rsid w:val="006D75D0"/>
    <w:rsid w:val="006E11EC"/>
    <w:rsid w:val="006E17B6"/>
    <w:rsid w:val="006E1919"/>
    <w:rsid w:val="006E33D5"/>
    <w:rsid w:val="006E58A2"/>
    <w:rsid w:val="006E7242"/>
    <w:rsid w:val="006E7CFB"/>
    <w:rsid w:val="006F0945"/>
    <w:rsid w:val="006F31A7"/>
    <w:rsid w:val="006F3BB8"/>
    <w:rsid w:val="006F6CFD"/>
    <w:rsid w:val="0070149F"/>
    <w:rsid w:val="00703D2D"/>
    <w:rsid w:val="00706FE9"/>
    <w:rsid w:val="00710BF9"/>
    <w:rsid w:val="00710FF1"/>
    <w:rsid w:val="0071191B"/>
    <w:rsid w:val="00712914"/>
    <w:rsid w:val="007135BA"/>
    <w:rsid w:val="0071360C"/>
    <w:rsid w:val="0071367B"/>
    <w:rsid w:val="007139B6"/>
    <w:rsid w:val="0071468E"/>
    <w:rsid w:val="007148AA"/>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2B0"/>
    <w:rsid w:val="00736976"/>
    <w:rsid w:val="00736A54"/>
    <w:rsid w:val="0074128D"/>
    <w:rsid w:val="00743086"/>
    <w:rsid w:val="00744ECC"/>
    <w:rsid w:val="0074677C"/>
    <w:rsid w:val="00746E21"/>
    <w:rsid w:val="0074740B"/>
    <w:rsid w:val="00747E73"/>
    <w:rsid w:val="007527D7"/>
    <w:rsid w:val="0075393B"/>
    <w:rsid w:val="0075471A"/>
    <w:rsid w:val="0075771C"/>
    <w:rsid w:val="007608D7"/>
    <w:rsid w:val="00760C0D"/>
    <w:rsid w:val="00761231"/>
    <w:rsid w:val="00763D76"/>
    <w:rsid w:val="00763F11"/>
    <w:rsid w:val="00764FAA"/>
    <w:rsid w:val="00767A04"/>
    <w:rsid w:val="00773719"/>
    <w:rsid w:val="00773B58"/>
    <w:rsid w:val="007742EA"/>
    <w:rsid w:val="00774343"/>
    <w:rsid w:val="007754E1"/>
    <w:rsid w:val="00777487"/>
    <w:rsid w:val="007777A1"/>
    <w:rsid w:val="0078003D"/>
    <w:rsid w:val="0078273E"/>
    <w:rsid w:val="00782DCD"/>
    <w:rsid w:val="00782F88"/>
    <w:rsid w:val="0078471D"/>
    <w:rsid w:val="00784EC0"/>
    <w:rsid w:val="00786D45"/>
    <w:rsid w:val="0078730F"/>
    <w:rsid w:val="0078760F"/>
    <w:rsid w:val="007910A3"/>
    <w:rsid w:val="007913FD"/>
    <w:rsid w:val="0079221B"/>
    <w:rsid w:val="007925C2"/>
    <w:rsid w:val="00792963"/>
    <w:rsid w:val="00796A50"/>
    <w:rsid w:val="00797C69"/>
    <w:rsid w:val="007A01E1"/>
    <w:rsid w:val="007A480F"/>
    <w:rsid w:val="007A49C2"/>
    <w:rsid w:val="007A4BDD"/>
    <w:rsid w:val="007A5887"/>
    <w:rsid w:val="007B05B3"/>
    <w:rsid w:val="007B14CE"/>
    <w:rsid w:val="007B33D7"/>
    <w:rsid w:val="007B4B58"/>
    <w:rsid w:val="007B5AC7"/>
    <w:rsid w:val="007B6357"/>
    <w:rsid w:val="007B6556"/>
    <w:rsid w:val="007B732A"/>
    <w:rsid w:val="007C08F8"/>
    <w:rsid w:val="007C10F1"/>
    <w:rsid w:val="007C1837"/>
    <w:rsid w:val="007C2377"/>
    <w:rsid w:val="007C293A"/>
    <w:rsid w:val="007C79F1"/>
    <w:rsid w:val="007D0844"/>
    <w:rsid w:val="007D0CC0"/>
    <w:rsid w:val="007D2908"/>
    <w:rsid w:val="007D31AA"/>
    <w:rsid w:val="007D537B"/>
    <w:rsid w:val="007D6F3F"/>
    <w:rsid w:val="007D7DA4"/>
    <w:rsid w:val="007E02C4"/>
    <w:rsid w:val="007E0E31"/>
    <w:rsid w:val="007E1522"/>
    <w:rsid w:val="007E190E"/>
    <w:rsid w:val="007E1D58"/>
    <w:rsid w:val="007E5728"/>
    <w:rsid w:val="007E6CF8"/>
    <w:rsid w:val="007E6ECC"/>
    <w:rsid w:val="007E7285"/>
    <w:rsid w:val="007F0ABE"/>
    <w:rsid w:val="007F0ED9"/>
    <w:rsid w:val="007F25A7"/>
    <w:rsid w:val="007F2645"/>
    <w:rsid w:val="007F435A"/>
    <w:rsid w:val="007F4668"/>
    <w:rsid w:val="007F571B"/>
    <w:rsid w:val="007F64C7"/>
    <w:rsid w:val="008031EC"/>
    <w:rsid w:val="008034D8"/>
    <w:rsid w:val="008054F0"/>
    <w:rsid w:val="00805BD3"/>
    <w:rsid w:val="00807755"/>
    <w:rsid w:val="00807DB6"/>
    <w:rsid w:val="00815425"/>
    <w:rsid w:val="008155E3"/>
    <w:rsid w:val="00817638"/>
    <w:rsid w:val="008228A5"/>
    <w:rsid w:val="00822B3C"/>
    <w:rsid w:val="00826F71"/>
    <w:rsid w:val="00830ED9"/>
    <w:rsid w:val="008326DB"/>
    <w:rsid w:val="00834367"/>
    <w:rsid w:val="00834AB9"/>
    <w:rsid w:val="008369A3"/>
    <w:rsid w:val="00836D2C"/>
    <w:rsid w:val="00837300"/>
    <w:rsid w:val="00837F65"/>
    <w:rsid w:val="008410B6"/>
    <w:rsid w:val="00844C90"/>
    <w:rsid w:val="00845B33"/>
    <w:rsid w:val="008478CE"/>
    <w:rsid w:val="00847BEB"/>
    <w:rsid w:val="00847C2B"/>
    <w:rsid w:val="00847E7D"/>
    <w:rsid w:val="00847F14"/>
    <w:rsid w:val="00850B48"/>
    <w:rsid w:val="00850CF7"/>
    <w:rsid w:val="00854B58"/>
    <w:rsid w:val="0085583B"/>
    <w:rsid w:val="008576E4"/>
    <w:rsid w:val="008577BA"/>
    <w:rsid w:val="00857E85"/>
    <w:rsid w:val="00860E75"/>
    <w:rsid w:val="00860F52"/>
    <w:rsid w:val="0086103A"/>
    <w:rsid w:val="008617EA"/>
    <w:rsid w:val="0086208D"/>
    <w:rsid w:val="008629E3"/>
    <w:rsid w:val="00864321"/>
    <w:rsid w:val="00865DC8"/>
    <w:rsid w:val="00870D58"/>
    <w:rsid w:val="008712A0"/>
    <w:rsid w:val="008712CE"/>
    <w:rsid w:val="008717D4"/>
    <w:rsid w:val="00872621"/>
    <w:rsid w:val="008727AA"/>
    <w:rsid w:val="008729DD"/>
    <w:rsid w:val="00873250"/>
    <w:rsid w:val="00873825"/>
    <w:rsid w:val="008739EF"/>
    <w:rsid w:val="00873ADE"/>
    <w:rsid w:val="00876F9A"/>
    <w:rsid w:val="00877C17"/>
    <w:rsid w:val="008803DE"/>
    <w:rsid w:val="008830F5"/>
    <w:rsid w:val="008839E5"/>
    <w:rsid w:val="00883C2B"/>
    <w:rsid w:val="00883C78"/>
    <w:rsid w:val="0088505E"/>
    <w:rsid w:val="0088761A"/>
    <w:rsid w:val="00890A9E"/>
    <w:rsid w:val="00892576"/>
    <w:rsid w:val="0089301A"/>
    <w:rsid w:val="00894601"/>
    <w:rsid w:val="00894CD3"/>
    <w:rsid w:val="00895D49"/>
    <w:rsid w:val="0089699B"/>
    <w:rsid w:val="008A115F"/>
    <w:rsid w:val="008A19B5"/>
    <w:rsid w:val="008A4654"/>
    <w:rsid w:val="008A6491"/>
    <w:rsid w:val="008A6708"/>
    <w:rsid w:val="008A70C3"/>
    <w:rsid w:val="008A7CF1"/>
    <w:rsid w:val="008B0674"/>
    <w:rsid w:val="008B0B60"/>
    <w:rsid w:val="008B0CFF"/>
    <w:rsid w:val="008B20C2"/>
    <w:rsid w:val="008B333C"/>
    <w:rsid w:val="008B3CD2"/>
    <w:rsid w:val="008B5C6E"/>
    <w:rsid w:val="008B75E1"/>
    <w:rsid w:val="008B77B4"/>
    <w:rsid w:val="008B7C11"/>
    <w:rsid w:val="008C011F"/>
    <w:rsid w:val="008C0805"/>
    <w:rsid w:val="008C096C"/>
    <w:rsid w:val="008C0B6E"/>
    <w:rsid w:val="008C169E"/>
    <w:rsid w:val="008C1CAA"/>
    <w:rsid w:val="008C26F4"/>
    <w:rsid w:val="008C277C"/>
    <w:rsid w:val="008C3539"/>
    <w:rsid w:val="008C4888"/>
    <w:rsid w:val="008C624A"/>
    <w:rsid w:val="008C707E"/>
    <w:rsid w:val="008D1DB1"/>
    <w:rsid w:val="008D1DF0"/>
    <w:rsid w:val="008D3892"/>
    <w:rsid w:val="008D39AA"/>
    <w:rsid w:val="008D5118"/>
    <w:rsid w:val="008D55F9"/>
    <w:rsid w:val="008D5EAF"/>
    <w:rsid w:val="008D6A9C"/>
    <w:rsid w:val="008E0D56"/>
    <w:rsid w:val="008E2B2F"/>
    <w:rsid w:val="008E348C"/>
    <w:rsid w:val="008E4DFF"/>
    <w:rsid w:val="008E549E"/>
    <w:rsid w:val="008E54D0"/>
    <w:rsid w:val="008E5E23"/>
    <w:rsid w:val="008E67C0"/>
    <w:rsid w:val="008E7F9F"/>
    <w:rsid w:val="008F09FE"/>
    <w:rsid w:val="008F1046"/>
    <w:rsid w:val="008F18B3"/>
    <w:rsid w:val="008F1E40"/>
    <w:rsid w:val="008F234B"/>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193E"/>
    <w:rsid w:val="009128E8"/>
    <w:rsid w:val="00913D99"/>
    <w:rsid w:val="00914581"/>
    <w:rsid w:val="00920962"/>
    <w:rsid w:val="00920A27"/>
    <w:rsid w:val="00924E21"/>
    <w:rsid w:val="0092726F"/>
    <w:rsid w:val="009308F0"/>
    <w:rsid w:val="0093251D"/>
    <w:rsid w:val="00932CDB"/>
    <w:rsid w:val="00935F44"/>
    <w:rsid w:val="0093687D"/>
    <w:rsid w:val="00936C94"/>
    <w:rsid w:val="00937CD8"/>
    <w:rsid w:val="00937DFB"/>
    <w:rsid w:val="00940A80"/>
    <w:rsid w:val="00941D69"/>
    <w:rsid w:val="00944597"/>
    <w:rsid w:val="00944936"/>
    <w:rsid w:val="00944AA7"/>
    <w:rsid w:val="00946AD7"/>
    <w:rsid w:val="00947C30"/>
    <w:rsid w:val="00947F91"/>
    <w:rsid w:val="0095045E"/>
    <w:rsid w:val="00950571"/>
    <w:rsid w:val="00952D7C"/>
    <w:rsid w:val="009540D9"/>
    <w:rsid w:val="009544FD"/>
    <w:rsid w:val="009546F6"/>
    <w:rsid w:val="00954A5F"/>
    <w:rsid w:val="0095626F"/>
    <w:rsid w:val="009569C9"/>
    <w:rsid w:val="00956BA1"/>
    <w:rsid w:val="00961356"/>
    <w:rsid w:val="009618A1"/>
    <w:rsid w:val="00962C9F"/>
    <w:rsid w:val="00963DA9"/>
    <w:rsid w:val="0096455D"/>
    <w:rsid w:val="00964F55"/>
    <w:rsid w:val="00965CBF"/>
    <w:rsid w:val="00965DE0"/>
    <w:rsid w:val="00966271"/>
    <w:rsid w:val="009709DA"/>
    <w:rsid w:val="009710DB"/>
    <w:rsid w:val="0097372C"/>
    <w:rsid w:val="0097570D"/>
    <w:rsid w:val="009769C6"/>
    <w:rsid w:val="00977F47"/>
    <w:rsid w:val="00980FD2"/>
    <w:rsid w:val="00981D8F"/>
    <w:rsid w:val="009837EF"/>
    <w:rsid w:val="00984BDC"/>
    <w:rsid w:val="009857E0"/>
    <w:rsid w:val="00987A1D"/>
    <w:rsid w:val="009918FB"/>
    <w:rsid w:val="00991CE2"/>
    <w:rsid w:val="00995493"/>
    <w:rsid w:val="009A0497"/>
    <w:rsid w:val="009A1142"/>
    <w:rsid w:val="009A1A9A"/>
    <w:rsid w:val="009A2D21"/>
    <w:rsid w:val="009B157C"/>
    <w:rsid w:val="009B2212"/>
    <w:rsid w:val="009B2293"/>
    <w:rsid w:val="009B25BD"/>
    <w:rsid w:val="009B36BF"/>
    <w:rsid w:val="009B5872"/>
    <w:rsid w:val="009B5A80"/>
    <w:rsid w:val="009B671B"/>
    <w:rsid w:val="009B6ACF"/>
    <w:rsid w:val="009B6B48"/>
    <w:rsid w:val="009B7123"/>
    <w:rsid w:val="009B7B65"/>
    <w:rsid w:val="009C0CEB"/>
    <w:rsid w:val="009C0F32"/>
    <w:rsid w:val="009C2B62"/>
    <w:rsid w:val="009C3E19"/>
    <w:rsid w:val="009C4C65"/>
    <w:rsid w:val="009C74B5"/>
    <w:rsid w:val="009C7BD2"/>
    <w:rsid w:val="009D0E47"/>
    <w:rsid w:val="009D13F4"/>
    <w:rsid w:val="009D1F1C"/>
    <w:rsid w:val="009D2902"/>
    <w:rsid w:val="009D3AEC"/>
    <w:rsid w:val="009D7957"/>
    <w:rsid w:val="009D7CE6"/>
    <w:rsid w:val="009E008F"/>
    <w:rsid w:val="009E0870"/>
    <w:rsid w:val="009E0D56"/>
    <w:rsid w:val="009E11FC"/>
    <w:rsid w:val="009E262C"/>
    <w:rsid w:val="009E3B03"/>
    <w:rsid w:val="009E5D8C"/>
    <w:rsid w:val="009E6430"/>
    <w:rsid w:val="009E64A4"/>
    <w:rsid w:val="009E71BD"/>
    <w:rsid w:val="009E720C"/>
    <w:rsid w:val="009E771F"/>
    <w:rsid w:val="009E7EB4"/>
    <w:rsid w:val="009F221C"/>
    <w:rsid w:val="009F234D"/>
    <w:rsid w:val="009F471D"/>
    <w:rsid w:val="009F48BD"/>
    <w:rsid w:val="009F56A0"/>
    <w:rsid w:val="009F625C"/>
    <w:rsid w:val="009F6692"/>
    <w:rsid w:val="00A00F82"/>
    <w:rsid w:val="00A02AB8"/>
    <w:rsid w:val="00A0444F"/>
    <w:rsid w:val="00A05393"/>
    <w:rsid w:val="00A05924"/>
    <w:rsid w:val="00A12337"/>
    <w:rsid w:val="00A127AE"/>
    <w:rsid w:val="00A133AC"/>
    <w:rsid w:val="00A13C00"/>
    <w:rsid w:val="00A143E0"/>
    <w:rsid w:val="00A212FC"/>
    <w:rsid w:val="00A21C26"/>
    <w:rsid w:val="00A21C3A"/>
    <w:rsid w:val="00A22274"/>
    <w:rsid w:val="00A223AF"/>
    <w:rsid w:val="00A2267C"/>
    <w:rsid w:val="00A23419"/>
    <w:rsid w:val="00A25095"/>
    <w:rsid w:val="00A32793"/>
    <w:rsid w:val="00A376D1"/>
    <w:rsid w:val="00A412A4"/>
    <w:rsid w:val="00A44E29"/>
    <w:rsid w:val="00A45752"/>
    <w:rsid w:val="00A46BA8"/>
    <w:rsid w:val="00A54607"/>
    <w:rsid w:val="00A55545"/>
    <w:rsid w:val="00A5615B"/>
    <w:rsid w:val="00A566F7"/>
    <w:rsid w:val="00A60788"/>
    <w:rsid w:val="00A61E4F"/>
    <w:rsid w:val="00A624D4"/>
    <w:rsid w:val="00A63795"/>
    <w:rsid w:val="00A63817"/>
    <w:rsid w:val="00A64DFC"/>
    <w:rsid w:val="00A64E67"/>
    <w:rsid w:val="00A65708"/>
    <w:rsid w:val="00A66663"/>
    <w:rsid w:val="00A67F50"/>
    <w:rsid w:val="00A74FE2"/>
    <w:rsid w:val="00A75DAF"/>
    <w:rsid w:val="00A763D5"/>
    <w:rsid w:val="00A76ACC"/>
    <w:rsid w:val="00A80316"/>
    <w:rsid w:val="00A80DCD"/>
    <w:rsid w:val="00A827A8"/>
    <w:rsid w:val="00A83556"/>
    <w:rsid w:val="00A8360B"/>
    <w:rsid w:val="00A857D9"/>
    <w:rsid w:val="00A863FA"/>
    <w:rsid w:val="00A90857"/>
    <w:rsid w:val="00A90A64"/>
    <w:rsid w:val="00A90D45"/>
    <w:rsid w:val="00A91448"/>
    <w:rsid w:val="00A92245"/>
    <w:rsid w:val="00A93A78"/>
    <w:rsid w:val="00A94548"/>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3C8"/>
    <w:rsid w:val="00AD640D"/>
    <w:rsid w:val="00AD6B21"/>
    <w:rsid w:val="00AD6D7F"/>
    <w:rsid w:val="00AE0DAF"/>
    <w:rsid w:val="00AE1E77"/>
    <w:rsid w:val="00AE2076"/>
    <w:rsid w:val="00AE311C"/>
    <w:rsid w:val="00AE32FC"/>
    <w:rsid w:val="00AE3926"/>
    <w:rsid w:val="00AE46AA"/>
    <w:rsid w:val="00AE6061"/>
    <w:rsid w:val="00AF0388"/>
    <w:rsid w:val="00AF05EF"/>
    <w:rsid w:val="00AF0863"/>
    <w:rsid w:val="00AF0BFE"/>
    <w:rsid w:val="00AF29BB"/>
    <w:rsid w:val="00AF2B88"/>
    <w:rsid w:val="00AF5DF6"/>
    <w:rsid w:val="00AF5F2E"/>
    <w:rsid w:val="00AF63A9"/>
    <w:rsid w:val="00AF739D"/>
    <w:rsid w:val="00AF7D7F"/>
    <w:rsid w:val="00B00194"/>
    <w:rsid w:val="00B006A9"/>
    <w:rsid w:val="00B00A80"/>
    <w:rsid w:val="00B00A9C"/>
    <w:rsid w:val="00B01ECE"/>
    <w:rsid w:val="00B05AFA"/>
    <w:rsid w:val="00B06148"/>
    <w:rsid w:val="00B0671F"/>
    <w:rsid w:val="00B068F2"/>
    <w:rsid w:val="00B10278"/>
    <w:rsid w:val="00B12922"/>
    <w:rsid w:val="00B13310"/>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411C"/>
    <w:rsid w:val="00B37CF6"/>
    <w:rsid w:val="00B4136C"/>
    <w:rsid w:val="00B4271C"/>
    <w:rsid w:val="00B42A04"/>
    <w:rsid w:val="00B43453"/>
    <w:rsid w:val="00B450F8"/>
    <w:rsid w:val="00B47A0F"/>
    <w:rsid w:val="00B47CFD"/>
    <w:rsid w:val="00B50649"/>
    <w:rsid w:val="00B51927"/>
    <w:rsid w:val="00B51DCA"/>
    <w:rsid w:val="00B51EDA"/>
    <w:rsid w:val="00B533D0"/>
    <w:rsid w:val="00B5400D"/>
    <w:rsid w:val="00B549E8"/>
    <w:rsid w:val="00B55348"/>
    <w:rsid w:val="00B55516"/>
    <w:rsid w:val="00B557B6"/>
    <w:rsid w:val="00B55E3F"/>
    <w:rsid w:val="00B60A1E"/>
    <w:rsid w:val="00B6156C"/>
    <w:rsid w:val="00B61595"/>
    <w:rsid w:val="00B620AA"/>
    <w:rsid w:val="00B6327A"/>
    <w:rsid w:val="00B657A0"/>
    <w:rsid w:val="00B65FA8"/>
    <w:rsid w:val="00B66384"/>
    <w:rsid w:val="00B664D8"/>
    <w:rsid w:val="00B67EB0"/>
    <w:rsid w:val="00B7014D"/>
    <w:rsid w:val="00B7017B"/>
    <w:rsid w:val="00B722B5"/>
    <w:rsid w:val="00B73F2E"/>
    <w:rsid w:val="00B74113"/>
    <w:rsid w:val="00B74B4F"/>
    <w:rsid w:val="00B77B55"/>
    <w:rsid w:val="00B827C5"/>
    <w:rsid w:val="00B82AE6"/>
    <w:rsid w:val="00B83B44"/>
    <w:rsid w:val="00B83D1F"/>
    <w:rsid w:val="00B84190"/>
    <w:rsid w:val="00B9057D"/>
    <w:rsid w:val="00B91546"/>
    <w:rsid w:val="00B919DC"/>
    <w:rsid w:val="00B91D3B"/>
    <w:rsid w:val="00B93466"/>
    <w:rsid w:val="00B93D1A"/>
    <w:rsid w:val="00B94293"/>
    <w:rsid w:val="00B94B1E"/>
    <w:rsid w:val="00B9718C"/>
    <w:rsid w:val="00B97A11"/>
    <w:rsid w:val="00BA1691"/>
    <w:rsid w:val="00BA2000"/>
    <w:rsid w:val="00BA2B44"/>
    <w:rsid w:val="00BA326C"/>
    <w:rsid w:val="00BA4224"/>
    <w:rsid w:val="00BA4665"/>
    <w:rsid w:val="00BB121C"/>
    <w:rsid w:val="00BB1709"/>
    <w:rsid w:val="00BB249D"/>
    <w:rsid w:val="00BB3BD1"/>
    <w:rsid w:val="00BB76DF"/>
    <w:rsid w:val="00BC1511"/>
    <w:rsid w:val="00BC17BE"/>
    <w:rsid w:val="00BC26DC"/>
    <w:rsid w:val="00BC2FCC"/>
    <w:rsid w:val="00BC468A"/>
    <w:rsid w:val="00BC6D7D"/>
    <w:rsid w:val="00BC7D24"/>
    <w:rsid w:val="00BD0413"/>
    <w:rsid w:val="00BD0C96"/>
    <w:rsid w:val="00BD1479"/>
    <w:rsid w:val="00BD2E17"/>
    <w:rsid w:val="00BD3267"/>
    <w:rsid w:val="00BD483E"/>
    <w:rsid w:val="00BD4A55"/>
    <w:rsid w:val="00BD6E3E"/>
    <w:rsid w:val="00BD7B1A"/>
    <w:rsid w:val="00BD7B51"/>
    <w:rsid w:val="00BE20A2"/>
    <w:rsid w:val="00BE2ED0"/>
    <w:rsid w:val="00BE3370"/>
    <w:rsid w:val="00BE4286"/>
    <w:rsid w:val="00BE4622"/>
    <w:rsid w:val="00BE4E20"/>
    <w:rsid w:val="00BE59CE"/>
    <w:rsid w:val="00BE5FB9"/>
    <w:rsid w:val="00BE647C"/>
    <w:rsid w:val="00BE650A"/>
    <w:rsid w:val="00BE655B"/>
    <w:rsid w:val="00BE70DD"/>
    <w:rsid w:val="00BE7CC4"/>
    <w:rsid w:val="00BF268F"/>
    <w:rsid w:val="00BF385C"/>
    <w:rsid w:val="00BF6B96"/>
    <w:rsid w:val="00C03042"/>
    <w:rsid w:val="00C0349A"/>
    <w:rsid w:val="00C03CED"/>
    <w:rsid w:val="00C04A7D"/>
    <w:rsid w:val="00C05574"/>
    <w:rsid w:val="00C05B46"/>
    <w:rsid w:val="00C06197"/>
    <w:rsid w:val="00C06A01"/>
    <w:rsid w:val="00C079DC"/>
    <w:rsid w:val="00C120C0"/>
    <w:rsid w:val="00C1315E"/>
    <w:rsid w:val="00C13270"/>
    <w:rsid w:val="00C133FC"/>
    <w:rsid w:val="00C13EF0"/>
    <w:rsid w:val="00C14AF4"/>
    <w:rsid w:val="00C15A21"/>
    <w:rsid w:val="00C173DC"/>
    <w:rsid w:val="00C17AAA"/>
    <w:rsid w:val="00C20220"/>
    <w:rsid w:val="00C202C8"/>
    <w:rsid w:val="00C22EBB"/>
    <w:rsid w:val="00C2545A"/>
    <w:rsid w:val="00C26BA5"/>
    <w:rsid w:val="00C278E6"/>
    <w:rsid w:val="00C304E0"/>
    <w:rsid w:val="00C30AB4"/>
    <w:rsid w:val="00C31CC0"/>
    <w:rsid w:val="00C3203A"/>
    <w:rsid w:val="00C33045"/>
    <w:rsid w:val="00C33E5A"/>
    <w:rsid w:val="00C35EA1"/>
    <w:rsid w:val="00C364F8"/>
    <w:rsid w:val="00C3732E"/>
    <w:rsid w:val="00C41A41"/>
    <w:rsid w:val="00C41DEF"/>
    <w:rsid w:val="00C4306B"/>
    <w:rsid w:val="00C45162"/>
    <w:rsid w:val="00C46E14"/>
    <w:rsid w:val="00C46EA7"/>
    <w:rsid w:val="00C509D3"/>
    <w:rsid w:val="00C522A9"/>
    <w:rsid w:val="00C524F2"/>
    <w:rsid w:val="00C52E62"/>
    <w:rsid w:val="00C54207"/>
    <w:rsid w:val="00C60191"/>
    <w:rsid w:val="00C60BBD"/>
    <w:rsid w:val="00C63CA5"/>
    <w:rsid w:val="00C641FC"/>
    <w:rsid w:val="00C653F7"/>
    <w:rsid w:val="00C665F3"/>
    <w:rsid w:val="00C67CDD"/>
    <w:rsid w:val="00C734E1"/>
    <w:rsid w:val="00C74661"/>
    <w:rsid w:val="00C746AE"/>
    <w:rsid w:val="00C75C12"/>
    <w:rsid w:val="00C837D3"/>
    <w:rsid w:val="00C84F64"/>
    <w:rsid w:val="00C850F4"/>
    <w:rsid w:val="00C85510"/>
    <w:rsid w:val="00C8797D"/>
    <w:rsid w:val="00C902D7"/>
    <w:rsid w:val="00C94463"/>
    <w:rsid w:val="00C94CD6"/>
    <w:rsid w:val="00C96388"/>
    <w:rsid w:val="00C9661C"/>
    <w:rsid w:val="00C971CD"/>
    <w:rsid w:val="00CA10EB"/>
    <w:rsid w:val="00CA31D5"/>
    <w:rsid w:val="00CA40EE"/>
    <w:rsid w:val="00CA5B6B"/>
    <w:rsid w:val="00CA5B78"/>
    <w:rsid w:val="00CA6695"/>
    <w:rsid w:val="00CA70B9"/>
    <w:rsid w:val="00CB511B"/>
    <w:rsid w:val="00CB5722"/>
    <w:rsid w:val="00CC0943"/>
    <w:rsid w:val="00CC3809"/>
    <w:rsid w:val="00CC4D9E"/>
    <w:rsid w:val="00CC5C69"/>
    <w:rsid w:val="00CC7744"/>
    <w:rsid w:val="00CD058E"/>
    <w:rsid w:val="00CD2C94"/>
    <w:rsid w:val="00CD3F58"/>
    <w:rsid w:val="00CD44C8"/>
    <w:rsid w:val="00CD5A0E"/>
    <w:rsid w:val="00CD5F15"/>
    <w:rsid w:val="00CD74B8"/>
    <w:rsid w:val="00CD7AAF"/>
    <w:rsid w:val="00CD7C25"/>
    <w:rsid w:val="00CE015A"/>
    <w:rsid w:val="00CE0571"/>
    <w:rsid w:val="00CE19F9"/>
    <w:rsid w:val="00CE30A6"/>
    <w:rsid w:val="00CE42A1"/>
    <w:rsid w:val="00CE6738"/>
    <w:rsid w:val="00CE6BDB"/>
    <w:rsid w:val="00CE7C01"/>
    <w:rsid w:val="00CF2024"/>
    <w:rsid w:val="00CF2ADA"/>
    <w:rsid w:val="00CF3FBF"/>
    <w:rsid w:val="00CF4AD8"/>
    <w:rsid w:val="00CF61B6"/>
    <w:rsid w:val="00CF671F"/>
    <w:rsid w:val="00D00503"/>
    <w:rsid w:val="00D00846"/>
    <w:rsid w:val="00D01950"/>
    <w:rsid w:val="00D02C89"/>
    <w:rsid w:val="00D04919"/>
    <w:rsid w:val="00D052B4"/>
    <w:rsid w:val="00D06646"/>
    <w:rsid w:val="00D07E33"/>
    <w:rsid w:val="00D10076"/>
    <w:rsid w:val="00D10137"/>
    <w:rsid w:val="00D12778"/>
    <w:rsid w:val="00D12A48"/>
    <w:rsid w:val="00D13B5A"/>
    <w:rsid w:val="00D1488F"/>
    <w:rsid w:val="00D16690"/>
    <w:rsid w:val="00D20645"/>
    <w:rsid w:val="00D20D4C"/>
    <w:rsid w:val="00D22AD5"/>
    <w:rsid w:val="00D23A87"/>
    <w:rsid w:val="00D2449C"/>
    <w:rsid w:val="00D24674"/>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78C9"/>
    <w:rsid w:val="00D50283"/>
    <w:rsid w:val="00D5127D"/>
    <w:rsid w:val="00D57144"/>
    <w:rsid w:val="00D60604"/>
    <w:rsid w:val="00D64154"/>
    <w:rsid w:val="00D65A18"/>
    <w:rsid w:val="00D675F9"/>
    <w:rsid w:val="00D6772B"/>
    <w:rsid w:val="00D71409"/>
    <w:rsid w:val="00D71F7D"/>
    <w:rsid w:val="00D71F97"/>
    <w:rsid w:val="00D7239D"/>
    <w:rsid w:val="00D73421"/>
    <w:rsid w:val="00D7450E"/>
    <w:rsid w:val="00D7478D"/>
    <w:rsid w:val="00D74A41"/>
    <w:rsid w:val="00D768BD"/>
    <w:rsid w:val="00D76907"/>
    <w:rsid w:val="00D7719D"/>
    <w:rsid w:val="00D81644"/>
    <w:rsid w:val="00D85D6C"/>
    <w:rsid w:val="00D8754E"/>
    <w:rsid w:val="00D93449"/>
    <w:rsid w:val="00D9441D"/>
    <w:rsid w:val="00D95AEB"/>
    <w:rsid w:val="00D95F22"/>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DE0"/>
    <w:rsid w:val="00DC42C1"/>
    <w:rsid w:val="00DC4D19"/>
    <w:rsid w:val="00DC5D87"/>
    <w:rsid w:val="00DC68C9"/>
    <w:rsid w:val="00DD1B1B"/>
    <w:rsid w:val="00DD32DC"/>
    <w:rsid w:val="00DD617D"/>
    <w:rsid w:val="00DE04E0"/>
    <w:rsid w:val="00DE06E0"/>
    <w:rsid w:val="00DE39C4"/>
    <w:rsid w:val="00DE55FF"/>
    <w:rsid w:val="00DE5F6F"/>
    <w:rsid w:val="00DE79D3"/>
    <w:rsid w:val="00DE7F03"/>
    <w:rsid w:val="00DF027A"/>
    <w:rsid w:val="00DF281F"/>
    <w:rsid w:val="00DF2F4B"/>
    <w:rsid w:val="00DF6816"/>
    <w:rsid w:val="00DF71A3"/>
    <w:rsid w:val="00E00448"/>
    <w:rsid w:val="00E00B23"/>
    <w:rsid w:val="00E0117D"/>
    <w:rsid w:val="00E0310F"/>
    <w:rsid w:val="00E03125"/>
    <w:rsid w:val="00E04357"/>
    <w:rsid w:val="00E04D95"/>
    <w:rsid w:val="00E052DE"/>
    <w:rsid w:val="00E0769B"/>
    <w:rsid w:val="00E07BCC"/>
    <w:rsid w:val="00E10B5C"/>
    <w:rsid w:val="00E11760"/>
    <w:rsid w:val="00E119E8"/>
    <w:rsid w:val="00E12973"/>
    <w:rsid w:val="00E139C5"/>
    <w:rsid w:val="00E141EC"/>
    <w:rsid w:val="00E14792"/>
    <w:rsid w:val="00E14DAE"/>
    <w:rsid w:val="00E155D6"/>
    <w:rsid w:val="00E155FA"/>
    <w:rsid w:val="00E16600"/>
    <w:rsid w:val="00E169CD"/>
    <w:rsid w:val="00E205A2"/>
    <w:rsid w:val="00E217A2"/>
    <w:rsid w:val="00E2280E"/>
    <w:rsid w:val="00E228DE"/>
    <w:rsid w:val="00E23208"/>
    <w:rsid w:val="00E24758"/>
    <w:rsid w:val="00E25145"/>
    <w:rsid w:val="00E263E8"/>
    <w:rsid w:val="00E2763D"/>
    <w:rsid w:val="00E3374A"/>
    <w:rsid w:val="00E345DB"/>
    <w:rsid w:val="00E3545D"/>
    <w:rsid w:val="00E3574A"/>
    <w:rsid w:val="00E35A46"/>
    <w:rsid w:val="00E36123"/>
    <w:rsid w:val="00E36669"/>
    <w:rsid w:val="00E40533"/>
    <w:rsid w:val="00E405B8"/>
    <w:rsid w:val="00E435D8"/>
    <w:rsid w:val="00E4448D"/>
    <w:rsid w:val="00E46F96"/>
    <w:rsid w:val="00E475AC"/>
    <w:rsid w:val="00E50D28"/>
    <w:rsid w:val="00E51807"/>
    <w:rsid w:val="00E53642"/>
    <w:rsid w:val="00E53896"/>
    <w:rsid w:val="00E5597A"/>
    <w:rsid w:val="00E55ABB"/>
    <w:rsid w:val="00E5686D"/>
    <w:rsid w:val="00E56DAB"/>
    <w:rsid w:val="00E56E42"/>
    <w:rsid w:val="00E6038C"/>
    <w:rsid w:val="00E60876"/>
    <w:rsid w:val="00E60BCA"/>
    <w:rsid w:val="00E62FEA"/>
    <w:rsid w:val="00E64602"/>
    <w:rsid w:val="00E659E5"/>
    <w:rsid w:val="00E65A6E"/>
    <w:rsid w:val="00E675B6"/>
    <w:rsid w:val="00E67B60"/>
    <w:rsid w:val="00E67D90"/>
    <w:rsid w:val="00E72931"/>
    <w:rsid w:val="00E74DC5"/>
    <w:rsid w:val="00E75380"/>
    <w:rsid w:val="00E7665D"/>
    <w:rsid w:val="00E766DF"/>
    <w:rsid w:val="00E8172C"/>
    <w:rsid w:val="00E81F35"/>
    <w:rsid w:val="00E82A56"/>
    <w:rsid w:val="00E82B1A"/>
    <w:rsid w:val="00E83D8A"/>
    <w:rsid w:val="00E90731"/>
    <w:rsid w:val="00E950F1"/>
    <w:rsid w:val="00E95A84"/>
    <w:rsid w:val="00E9629B"/>
    <w:rsid w:val="00E96CB5"/>
    <w:rsid w:val="00E9789E"/>
    <w:rsid w:val="00E97BF4"/>
    <w:rsid w:val="00EA0B74"/>
    <w:rsid w:val="00EA2A88"/>
    <w:rsid w:val="00EA3E93"/>
    <w:rsid w:val="00EA49FD"/>
    <w:rsid w:val="00EA78FF"/>
    <w:rsid w:val="00EB002B"/>
    <w:rsid w:val="00EB094A"/>
    <w:rsid w:val="00EB279B"/>
    <w:rsid w:val="00EB2CA5"/>
    <w:rsid w:val="00EB43FD"/>
    <w:rsid w:val="00EB44BE"/>
    <w:rsid w:val="00EB4682"/>
    <w:rsid w:val="00EB477D"/>
    <w:rsid w:val="00EB7FCF"/>
    <w:rsid w:val="00EC17A1"/>
    <w:rsid w:val="00EC1909"/>
    <w:rsid w:val="00EC28E5"/>
    <w:rsid w:val="00EC5183"/>
    <w:rsid w:val="00EC543F"/>
    <w:rsid w:val="00EC6350"/>
    <w:rsid w:val="00EC6B93"/>
    <w:rsid w:val="00EC741D"/>
    <w:rsid w:val="00EE0868"/>
    <w:rsid w:val="00EE1372"/>
    <w:rsid w:val="00EE1BFF"/>
    <w:rsid w:val="00EE1F4E"/>
    <w:rsid w:val="00EE585D"/>
    <w:rsid w:val="00EE58CB"/>
    <w:rsid w:val="00EF0B62"/>
    <w:rsid w:val="00EF1989"/>
    <w:rsid w:val="00EF3A40"/>
    <w:rsid w:val="00EF3C6B"/>
    <w:rsid w:val="00EF468B"/>
    <w:rsid w:val="00EF5429"/>
    <w:rsid w:val="00F02857"/>
    <w:rsid w:val="00F03424"/>
    <w:rsid w:val="00F04CDD"/>
    <w:rsid w:val="00F0606D"/>
    <w:rsid w:val="00F06858"/>
    <w:rsid w:val="00F071A7"/>
    <w:rsid w:val="00F0778D"/>
    <w:rsid w:val="00F077D3"/>
    <w:rsid w:val="00F07E0C"/>
    <w:rsid w:val="00F1328C"/>
    <w:rsid w:val="00F13817"/>
    <w:rsid w:val="00F13939"/>
    <w:rsid w:val="00F1396A"/>
    <w:rsid w:val="00F13B21"/>
    <w:rsid w:val="00F14463"/>
    <w:rsid w:val="00F1653E"/>
    <w:rsid w:val="00F16C75"/>
    <w:rsid w:val="00F17FE9"/>
    <w:rsid w:val="00F2128C"/>
    <w:rsid w:val="00F219AD"/>
    <w:rsid w:val="00F23291"/>
    <w:rsid w:val="00F25284"/>
    <w:rsid w:val="00F26CA1"/>
    <w:rsid w:val="00F270C1"/>
    <w:rsid w:val="00F31416"/>
    <w:rsid w:val="00F33190"/>
    <w:rsid w:val="00F332A2"/>
    <w:rsid w:val="00F337B2"/>
    <w:rsid w:val="00F33D36"/>
    <w:rsid w:val="00F4080E"/>
    <w:rsid w:val="00F45799"/>
    <w:rsid w:val="00F46C39"/>
    <w:rsid w:val="00F4755A"/>
    <w:rsid w:val="00F547A2"/>
    <w:rsid w:val="00F54E8D"/>
    <w:rsid w:val="00F555C6"/>
    <w:rsid w:val="00F60CC6"/>
    <w:rsid w:val="00F61ABB"/>
    <w:rsid w:val="00F622E8"/>
    <w:rsid w:val="00F63895"/>
    <w:rsid w:val="00F63F4E"/>
    <w:rsid w:val="00F64822"/>
    <w:rsid w:val="00F64F5E"/>
    <w:rsid w:val="00F65CB3"/>
    <w:rsid w:val="00F66B4C"/>
    <w:rsid w:val="00F6759D"/>
    <w:rsid w:val="00F707E3"/>
    <w:rsid w:val="00F70A77"/>
    <w:rsid w:val="00F71CD0"/>
    <w:rsid w:val="00F71FC5"/>
    <w:rsid w:val="00F72692"/>
    <w:rsid w:val="00F73049"/>
    <w:rsid w:val="00F7378F"/>
    <w:rsid w:val="00F77609"/>
    <w:rsid w:val="00F80AE5"/>
    <w:rsid w:val="00F846D6"/>
    <w:rsid w:val="00F84E50"/>
    <w:rsid w:val="00F85083"/>
    <w:rsid w:val="00F854E2"/>
    <w:rsid w:val="00F86F94"/>
    <w:rsid w:val="00F9065F"/>
    <w:rsid w:val="00F9142F"/>
    <w:rsid w:val="00F91DEC"/>
    <w:rsid w:val="00F91F5A"/>
    <w:rsid w:val="00F92F01"/>
    <w:rsid w:val="00F93849"/>
    <w:rsid w:val="00F941C2"/>
    <w:rsid w:val="00F95B2C"/>
    <w:rsid w:val="00F971E5"/>
    <w:rsid w:val="00FA0AA2"/>
    <w:rsid w:val="00FA509B"/>
    <w:rsid w:val="00FA63FD"/>
    <w:rsid w:val="00FB0F81"/>
    <w:rsid w:val="00FB17F6"/>
    <w:rsid w:val="00FB3263"/>
    <w:rsid w:val="00FB5BC7"/>
    <w:rsid w:val="00FB5CFE"/>
    <w:rsid w:val="00FB6ED3"/>
    <w:rsid w:val="00FB79D5"/>
    <w:rsid w:val="00FC059D"/>
    <w:rsid w:val="00FC07D5"/>
    <w:rsid w:val="00FC0D50"/>
    <w:rsid w:val="00FC3832"/>
    <w:rsid w:val="00FC4514"/>
    <w:rsid w:val="00FC4754"/>
    <w:rsid w:val="00FC65F0"/>
    <w:rsid w:val="00FC6BFA"/>
    <w:rsid w:val="00FC7481"/>
    <w:rsid w:val="00FC758B"/>
    <w:rsid w:val="00FD1F2A"/>
    <w:rsid w:val="00FD4195"/>
    <w:rsid w:val="00FD5FBF"/>
    <w:rsid w:val="00FE41CB"/>
    <w:rsid w:val="00FE497E"/>
    <w:rsid w:val="00FE5369"/>
    <w:rsid w:val="00FE574F"/>
    <w:rsid w:val="00FE610F"/>
    <w:rsid w:val="00FF029E"/>
    <w:rsid w:val="00FF0918"/>
    <w:rsid w:val="00FF0A78"/>
    <w:rsid w:val="00FF0F21"/>
    <w:rsid w:val="00FF160F"/>
    <w:rsid w:val="00FF2332"/>
    <w:rsid w:val="00FF4810"/>
    <w:rsid w:val="00FF48F9"/>
    <w:rsid w:val="00FF616D"/>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NormalWeb">
    <w:name w:val="Normal (Web)"/>
    <w:basedOn w:val="Normal"/>
    <w:uiPriority w:val="99"/>
    <w:unhideWhenUsed/>
    <w:rsid w:val="008D5EAF"/>
    <w:pPr>
      <w:spacing w:before="100" w:beforeAutospacing="1" w:after="100" w:afterAutospacing="1"/>
    </w:pPr>
    <w:rPr>
      <w:rFonts w:eastAsiaTheme="minorEastAsia"/>
      <w:szCs w:val="24"/>
      <w:lang w:val="en-US" w:eastAsia="en-US"/>
    </w:rPr>
  </w:style>
  <w:style w:type="table" w:customStyle="1" w:styleId="TableGrid1">
    <w:name w:val="Table Grid1"/>
    <w:basedOn w:val="TableNormal"/>
    <w:next w:val="TableGrid"/>
    <w:uiPriority w:val="59"/>
    <w:rsid w:val="00E366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B7C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75936846">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470903306">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71065474">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03140277">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22806523">
      <w:bodyDiv w:val="1"/>
      <w:marLeft w:val="0"/>
      <w:marRight w:val="0"/>
      <w:marTop w:val="0"/>
      <w:marBottom w:val="0"/>
      <w:divBdr>
        <w:top w:val="none" w:sz="0" w:space="0" w:color="auto"/>
        <w:left w:val="none" w:sz="0" w:space="0" w:color="auto"/>
        <w:bottom w:val="none" w:sz="0" w:space="0" w:color="auto"/>
        <w:right w:val="none" w:sz="0" w:space="0" w:color="auto"/>
      </w:divBdr>
    </w:div>
    <w:div w:id="193706066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Beja@drejtesia.gov.a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ir.Bejko@drejtesia.gov.a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CACB70A1168B411595FAC6FC6BEBF98B"/>
        <w:category>
          <w:name w:val="General"/>
          <w:gallery w:val="placeholder"/>
        </w:category>
        <w:types>
          <w:type w:val="bbPlcHdr"/>
        </w:types>
        <w:behaviors>
          <w:behavior w:val="content"/>
        </w:behaviors>
        <w:guid w:val="{B15F2C57-5C8D-4A4A-A92E-DAB31D8EF39A}"/>
      </w:docPartPr>
      <w:docPartBody>
        <w:p w:rsidR="006F1ED4" w:rsidRDefault="006F1ED4" w:rsidP="006F1ED4">
          <w:pPr>
            <w:pStyle w:val="CACB70A1168B411595FAC6FC6BEBF98B"/>
          </w:pPr>
          <w:r w:rsidRPr="00CC5954">
            <w:rPr>
              <w:rStyle w:val="PlaceholderText"/>
            </w:rPr>
            <w:t>Click here to enter text.</w:t>
          </w:r>
        </w:p>
      </w:docPartBody>
    </w:docPart>
    <w:docPart>
      <w:docPartPr>
        <w:name w:val="7D4BF66875D84F409BE5ED571A99CDF4"/>
        <w:category>
          <w:name w:val="General"/>
          <w:gallery w:val="placeholder"/>
        </w:category>
        <w:types>
          <w:type w:val="bbPlcHdr"/>
        </w:types>
        <w:behaviors>
          <w:behavior w:val="content"/>
        </w:behaviors>
        <w:guid w:val="{3DCDB6EF-2306-4976-8D97-30C8319DB676}"/>
      </w:docPartPr>
      <w:docPartBody>
        <w:p w:rsidR="006F1ED4" w:rsidRDefault="006F1ED4" w:rsidP="006F1ED4">
          <w:pPr>
            <w:pStyle w:val="7D4BF66875D84F409BE5ED571A99CDF4"/>
          </w:pPr>
          <w:r w:rsidRPr="00CC5954">
            <w:rPr>
              <w:rStyle w:val="PlaceholderText"/>
            </w:rPr>
            <w:t>Click here to enter text.</w:t>
          </w:r>
        </w:p>
      </w:docPartBody>
    </w:docPart>
    <w:docPart>
      <w:docPartPr>
        <w:name w:val="6DDBB321FA75409DA38DDE9CB0FD1E41"/>
        <w:category>
          <w:name w:val="General"/>
          <w:gallery w:val="placeholder"/>
        </w:category>
        <w:types>
          <w:type w:val="bbPlcHdr"/>
        </w:types>
        <w:behaviors>
          <w:behavior w:val="content"/>
        </w:behaviors>
        <w:guid w:val="{B1887427-48CB-457A-BE50-FB55EC6849FD}"/>
      </w:docPartPr>
      <w:docPartBody>
        <w:p w:rsidR="006F1ED4" w:rsidRDefault="006F1ED4" w:rsidP="006F1ED4">
          <w:pPr>
            <w:pStyle w:val="6DDBB321FA75409DA38DDE9CB0FD1E41"/>
          </w:pPr>
          <w:r w:rsidRPr="00CC5954">
            <w:rPr>
              <w:rStyle w:val="PlaceholderText"/>
            </w:rPr>
            <w:t>Click here to enter text.</w:t>
          </w:r>
        </w:p>
      </w:docPartBody>
    </w:docPart>
    <w:docPart>
      <w:docPartPr>
        <w:name w:val="1B5742A7A4F94DA1B86FBACFB3D31E60"/>
        <w:category>
          <w:name w:val="General"/>
          <w:gallery w:val="placeholder"/>
        </w:category>
        <w:types>
          <w:type w:val="bbPlcHdr"/>
        </w:types>
        <w:behaviors>
          <w:behavior w:val="content"/>
        </w:behaviors>
        <w:guid w:val="{A3FE7FB1-A2C6-4074-BD0C-FE9DACF4123D}"/>
      </w:docPartPr>
      <w:docPartBody>
        <w:p w:rsidR="006F1ED4" w:rsidRDefault="006F1ED4" w:rsidP="006F1ED4">
          <w:pPr>
            <w:pStyle w:val="1B5742A7A4F94DA1B86FBACFB3D31E60"/>
          </w:pPr>
          <w:r w:rsidRPr="00CC5954">
            <w:rPr>
              <w:rStyle w:val="PlaceholderText"/>
            </w:rPr>
            <w:t>Click here to enter text.</w:t>
          </w:r>
        </w:p>
      </w:docPartBody>
    </w:docPart>
    <w:docPart>
      <w:docPartPr>
        <w:name w:val="094A48B080684960BF3A114CBE910244"/>
        <w:category>
          <w:name w:val="General"/>
          <w:gallery w:val="placeholder"/>
        </w:category>
        <w:types>
          <w:type w:val="bbPlcHdr"/>
        </w:types>
        <w:behaviors>
          <w:behavior w:val="content"/>
        </w:behaviors>
        <w:guid w:val="{2DCBBB7A-E7C0-45CC-A6B8-941692E7A7C2}"/>
      </w:docPartPr>
      <w:docPartBody>
        <w:p w:rsidR="006F1ED4" w:rsidRDefault="006F1ED4" w:rsidP="006F1ED4">
          <w:pPr>
            <w:pStyle w:val="094A48B080684960BF3A114CBE910244"/>
          </w:pPr>
          <w:r w:rsidRPr="00CC5954">
            <w:rPr>
              <w:rStyle w:val="PlaceholderText"/>
            </w:rPr>
            <w:t>Click here to enter text.</w:t>
          </w:r>
        </w:p>
      </w:docPartBody>
    </w:docPart>
    <w:docPart>
      <w:docPartPr>
        <w:name w:val="867EF0DB10CB4A10BB29112D1FCD9786"/>
        <w:category>
          <w:name w:val="General"/>
          <w:gallery w:val="placeholder"/>
        </w:category>
        <w:types>
          <w:type w:val="bbPlcHdr"/>
        </w:types>
        <w:behaviors>
          <w:behavior w:val="content"/>
        </w:behaviors>
        <w:guid w:val="{ED142FE1-2935-4C00-8D06-E409A82D67C7}"/>
      </w:docPartPr>
      <w:docPartBody>
        <w:p w:rsidR="006F1ED4" w:rsidRDefault="006F1ED4" w:rsidP="006F1ED4">
          <w:pPr>
            <w:pStyle w:val="867EF0DB10CB4A10BB29112D1FCD9786"/>
          </w:pPr>
          <w:r w:rsidRPr="00CC5954">
            <w:rPr>
              <w:rStyle w:val="PlaceholderText"/>
            </w:rPr>
            <w:t>Click here to enter text.</w:t>
          </w:r>
        </w:p>
      </w:docPartBody>
    </w:docPart>
    <w:docPart>
      <w:docPartPr>
        <w:name w:val="2C6B1E60C1A14643A06F2DDC18E211CF"/>
        <w:category>
          <w:name w:val="General"/>
          <w:gallery w:val="placeholder"/>
        </w:category>
        <w:types>
          <w:type w:val="bbPlcHdr"/>
        </w:types>
        <w:behaviors>
          <w:behavior w:val="content"/>
        </w:behaviors>
        <w:guid w:val="{9DC8C20D-8E5A-4CC4-8E97-5AC7E3679D52}"/>
      </w:docPartPr>
      <w:docPartBody>
        <w:p w:rsidR="006F1ED4" w:rsidRDefault="006F1ED4" w:rsidP="006F1ED4">
          <w:pPr>
            <w:pStyle w:val="2C6B1E60C1A14643A06F2DDC18E211CF"/>
          </w:pPr>
          <w:r w:rsidRPr="00CC5954">
            <w:rPr>
              <w:rStyle w:val="PlaceholderText"/>
            </w:rPr>
            <w:t>Click here to enter text.</w:t>
          </w:r>
        </w:p>
      </w:docPartBody>
    </w:docPart>
    <w:docPart>
      <w:docPartPr>
        <w:name w:val="346DADE0E4B948EEB018BC06B86F97D7"/>
        <w:category>
          <w:name w:val="General"/>
          <w:gallery w:val="placeholder"/>
        </w:category>
        <w:types>
          <w:type w:val="bbPlcHdr"/>
        </w:types>
        <w:behaviors>
          <w:behavior w:val="content"/>
        </w:behaviors>
        <w:guid w:val="{C55B73F9-8E74-489E-9465-27416A304196}"/>
      </w:docPartPr>
      <w:docPartBody>
        <w:p w:rsidR="006F1ED4" w:rsidRDefault="006F1ED4" w:rsidP="006F1ED4">
          <w:pPr>
            <w:pStyle w:val="346DADE0E4B948EEB018BC06B86F97D7"/>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F5B7B"/>
    <w:rsid w:val="00265E85"/>
    <w:rsid w:val="0036461E"/>
    <w:rsid w:val="00613314"/>
    <w:rsid w:val="00616558"/>
    <w:rsid w:val="006F1ED4"/>
    <w:rsid w:val="0070194B"/>
    <w:rsid w:val="007B4F71"/>
    <w:rsid w:val="00861778"/>
    <w:rsid w:val="00862925"/>
    <w:rsid w:val="00881575"/>
    <w:rsid w:val="008C2583"/>
    <w:rsid w:val="008C2AC4"/>
    <w:rsid w:val="008E5D3A"/>
    <w:rsid w:val="008E7E8D"/>
    <w:rsid w:val="00946C0F"/>
    <w:rsid w:val="00B520DD"/>
    <w:rsid w:val="00B91967"/>
    <w:rsid w:val="00B949C7"/>
    <w:rsid w:val="00D71EBA"/>
    <w:rsid w:val="00DA1BDD"/>
    <w:rsid w:val="00DC3C88"/>
    <w:rsid w:val="00DC73C0"/>
    <w:rsid w:val="00EB61A3"/>
    <w:rsid w:val="00F80994"/>
    <w:rsid w:val="00FB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1E"/>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F365-B2B0-43E9-8C93-B3FDD444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9596</Words>
  <Characters>54699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64167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Alma Dylgjeri</cp:lastModifiedBy>
  <cp:revision>2</cp:revision>
  <cp:lastPrinted>2019-12-29T15:36:00Z</cp:lastPrinted>
  <dcterms:created xsi:type="dcterms:W3CDTF">2022-06-20T06:55:00Z</dcterms:created>
  <dcterms:modified xsi:type="dcterms:W3CDTF">2022-06-20T06:55:00Z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